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2bis</w:t>
      </w:r>
      <w:r>
        <w:rPr>
          <w:b/>
          <w:i/>
          <w:sz w:val="28"/>
        </w:rPr>
        <w:tab/>
      </w:r>
      <w:r>
        <w:rPr>
          <w:rFonts w:hint="eastAsia"/>
          <w:b/>
          <w:sz w:val="24"/>
        </w:rPr>
        <w:t>R4-2</w:t>
      </w:r>
      <w:r>
        <w:rPr>
          <w:rFonts w:hint="eastAsia" w:eastAsia="宋体"/>
          <w:b/>
          <w:sz w:val="24"/>
          <w:lang w:val="en-US" w:eastAsia="zh-CN"/>
        </w:rPr>
        <w:t>415816</w:t>
      </w:r>
      <w:bookmarkStart w:id="7" w:name="_GoBack"/>
      <w:bookmarkEnd w:id="7"/>
    </w:p>
    <w:p>
      <w:pPr>
        <w:pStyle w:val="73"/>
        <w:outlineLvl w:val="0"/>
        <w:rPr>
          <w:b/>
          <w:sz w:val="24"/>
        </w:rPr>
      </w:pPr>
      <w:r>
        <w:rPr>
          <w:rFonts w:hint="eastAsia" w:eastAsia="宋体" w:cs="Arial"/>
          <w:b/>
          <w:sz w:val="24"/>
          <w:szCs w:val="24"/>
          <w:lang w:val="en-US" w:eastAsia="zh-CN"/>
        </w:rPr>
        <w:t>Hefei,</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14</w:t>
      </w:r>
      <w:r>
        <w:rPr>
          <w:rFonts w:hint="eastAsia" w:ascii="Arial" w:hAnsi="Arial" w:eastAsia="宋体" w:cs="Arial"/>
          <w:b/>
          <w:sz w:val="24"/>
          <w:szCs w:val="24"/>
          <w:lang w:eastAsia="zh-CN"/>
        </w:rPr>
        <w:t>th–</w:t>
      </w:r>
      <w:r>
        <w:rPr>
          <w:rFonts w:hint="eastAsia" w:cs="Arial"/>
          <w:b/>
          <w:sz w:val="24"/>
          <w:szCs w:val="24"/>
          <w:lang w:val="en-US" w:eastAsia="zh-CN"/>
        </w:rPr>
        <w:t>18th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14"/>
      <w:bookmarkStart w:id="1" w:name="OLE_LINK8"/>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0"/>
      <w:bookmarkEnd w:id="1"/>
      <w:r>
        <w:rPr>
          <w:rStyle w:val="60"/>
          <w:rFonts w:hint="eastAsia"/>
          <w:b/>
          <w:highlight w:val="none"/>
          <w:lang w:val="en-US" w:eastAsia="zh-CN"/>
        </w:rPr>
        <w:t>MPR applicability for FR1 intra-band UL CA</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6.1.1.2.2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default"/>
          <w:i w:val="0"/>
          <w:iCs w:val="0"/>
          <w:sz w:val="20"/>
          <w:szCs w:val="20"/>
          <w:lang w:val="en-US" w:eastAsia="zh-CN"/>
        </w:rPr>
        <w:t>In RAN#102 meeting, a new Work Item [1] was approved on UE RF enhancements for NR FR1/FR2 and EN-DC, Phase 4, one of the objectives is about power boosting and/or MPR reduction as follows. In this contribution, we want to share some further views on MPR applicability for FR1 intra-band UL CA.</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power domain enhancement, e.g., MPR reduction for NR single carrier and NR intra-band UL CA</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 xml:space="preserve">the scenarios, </w:t>
            </w:r>
            <w:r>
              <w:rPr>
                <w:rFonts w:hint="eastAsia" w:ascii="Times New Roman" w:hAnsi="Times New Roman" w:cs="Times New Roman"/>
                <w:sz w:val="20"/>
                <w:szCs w:val="20"/>
              </w:rPr>
              <w:t>and</w:t>
            </w:r>
            <w:r>
              <w:rPr>
                <w:rFonts w:ascii="Times New Roman" w:hAnsi="Times New Roman" w:cs="Times New Roman"/>
                <w:sz w:val="20"/>
                <w:szCs w:val="20"/>
              </w:rPr>
              <w:t xml:space="preserve"> if feasible,</w:t>
            </w:r>
            <w:r>
              <w:rPr>
                <w:rFonts w:hint="eastAsia" w:ascii="Times New Roman" w:hAnsi="Times New Roman" w:cs="Times New Roman"/>
                <w:sz w:val="20"/>
                <w:szCs w:val="20"/>
              </w:rPr>
              <w:t xml:space="preserve"> sp</w:t>
            </w:r>
            <w:r>
              <w:rPr>
                <w:rFonts w:ascii="Times New Roman" w:hAnsi="Times New Roman" w:cs="Times New Roman"/>
                <w:sz w:val="20"/>
                <w:szCs w:val="20"/>
              </w:rPr>
              <w:t>ecify the power domain enhancement, e.g., MPR reduction, for PC2 and PC3 with applicable ACLR/SEM/spurious emission modification with BS indication for NR FR1 on a single UL carrier</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t</w:t>
            </w:r>
            <w:r>
              <w:rPr>
                <w:rFonts w:hint="eastAsia" w:ascii="Times New Roman" w:hAnsi="Times New Roman" w:cs="Times New Roman"/>
                <w:sz w:val="20"/>
                <w:szCs w:val="20"/>
              </w:rPr>
              <w:t xml:space="preserve">he </w:t>
            </w:r>
            <w:bookmarkStart w:id="2" w:name="OLE_LINK6"/>
            <w:r>
              <w:rPr>
                <w:rFonts w:hint="eastAsia" w:ascii="Times New Roman" w:hAnsi="Times New Roman" w:cs="Times New Roman"/>
                <w:sz w:val="20"/>
                <w:szCs w:val="20"/>
              </w:rPr>
              <w:t>following scenarios</w:t>
            </w:r>
            <w:r>
              <w:rPr>
                <w:rFonts w:ascii="Times New Roman" w:hAnsi="Times New Roman" w:cs="Times New Roman"/>
                <w:sz w:val="20"/>
                <w:szCs w:val="20"/>
              </w:rPr>
              <w:t>:</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when there is no</w:t>
            </w:r>
            <w:r>
              <w:rPr>
                <w:rFonts w:ascii="Times New Roman" w:hAnsi="Times New Roman" w:cs="Times New Roman"/>
                <w:sz w:val="20"/>
                <w:szCs w:val="20"/>
              </w:rPr>
              <w:t xml:space="preserve"> adjacent</w:t>
            </w:r>
            <w:r>
              <w:rPr>
                <w:rFonts w:hint="eastAsia" w:ascii="Times New Roman" w:hAnsi="Times New Roman" w:cs="Times New Roman"/>
                <w:sz w:val="20"/>
                <w:szCs w:val="20"/>
              </w:rPr>
              <w:t xml:space="preserve"> </w:t>
            </w:r>
            <w:r>
              <w:rPr>
                <w:rFonts w:ascii="Times New Roman" w:hAnsi="Times New Roman" w:cs="Times New Roman"/>
                <w:sz w:val="20"/>
                <w:szCs w:val="20"/>
              </w:rPr>
              <w:t>in-band/out-of-band co-existence issue</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when a UE uses a narrower channel bandwidth within a wider BS bandwidth</w:t>
            </w:r>
          </w:p>
          <w:bookmarkEnd w:id="2"/>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w:t>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 xml:space="preserve">oth </w:t>
            </w:r>
            <w:r>
              <w:rPr>
                <w:rFonts w:ascii="Times New Roman" w:hAnsi="Times New Roman" w:cs="Times New Roman"/>
                <w:sz w:val="20"/>
                <w:szCs w:val="20"/>
              </w:rPr>
              <w:t>(e)</w:t>
            </w:r>
            <w:r>
              <w:rPr>
                <w:rFonts w:hint="eastAsia" w:ascii="Times New Roman" w:hAnsi="Times New Roman" w:cs="Times New Roman"/>
                <w:sz w:val="20"/>
                <w:szCs w:val="20"/>
              </w:rPr>
              <w:t>RedCap UE</w:t>
            </w:r>
            <w:r>
              <w:rPr>
                <w:rFonts w:ascii="Times New Roman" w:hAnsi="Times New Roman" w:cs="Times New Roman"/>
                <w:sz w:val="20"/>
                <w:szCs w:val="20"/>
              </w:rPr>
              <w:t xml:space="preserve"> (only PC3)</w:t>
            </w:r>
            <w:r>
              <w:rPr>
                <w:rFonts w:hint="eastAsia" w:ascii="Times New Roman" w:hAnsi="Times New Roman" w:cs="Times New Roman"/>
                <w:sz w:val="20"/>
                <w:szCs w:val="20"/>
              </w:rPr>
              <w:t xml:space="preserve"> and non-RedCap UE</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Limited to QSPK and 16QAM</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Specify </w:t>
            </w:r>
            <w:bookmarkStart w:id="3" w:name="OLE_LINK11"/>
            <w:r>
              <w:rPr>
                <w:rFonts w:ascii="Times New Roman" w:hAnsi="Times New Roman" w:cs="Times New Roman"/>
                <w:sz w:val="20"/>
                <w:szCs w:val="20"/>
              </w:rPr>
              <w:t xml:space="preserve">MPR applicability based on the UL CCs with activated cells </w:t>
            </w:r>
            <w:bookmarkEnd w:id="3"/>
            <w:r>
              <w:rPr>
                <w:rFonts w:ascii="Times New Roman" w:hAnsi="Times New Roman" w:cs="Times New Roman"/>
                <w:sz w:val="20"/>
                <w:szCs w:val="20"/>
              </w:rPr>
              <w:t>for NR intra-band UL CA configuration</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Include both intra-band UL </w:t>
            </w:r>
            <w:r>
              <w:rPr>
                <w:rFonts w:ascii="Times New Roman" w:hAnsi="Times New Roman" w:cs="Times New Roman"/>
                <w:sz w:val="20"/>
                <w:szCs w:val="20"/>
              </w:rPr>
              <w:t>contiguous</w:t>
            </w:r>
            <w:r>
              <w:rPr>
                <w:rFonts w:hint="eastAsia" w:ascii="Times New Roman" w:hAnsi="Times New Roman" w:cs="Times New Roman"/>
                <w:sz w:val="20"/>
                <w:szCs w:val="20"/>
              </w:rPr>
              <w:t xml:space="preserve"> </w:t>
            </w:r>
            <w:r>
              <w:rPr>
                <w:rFonts w:ascii="Times New Roman" w:hAnsi="Times New Roman" w:cs="Times New Roman"/>
                <w:sz w:val="20"/>
                <w:szCs w:val="20"/>
              </w:rPr>
              <w:t>CA and intra-band non-contiguous UL CA for FR1</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intra-band UL contiguous CA and intra-band DL contiguous CA with single UL for FR2</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MPR requirement is not applicable until the </w:t>
            </w:r>
            <w:bookmarkStart w:id="4" w:name="OLE_LINK13"/>
            <w:r>
              <w:rPr>
                <w:rFonts w:ascii="Times New Roman" w:hAnsi="Times New Roman" w:cs="Times New Roman"/>
                <w:sz w:val="20"/>
                <w:szCs w:val="20"/>
              </w:rPr>
              <w:t>SCell is activated</w:t>
            </w:r>
            <w:bookmarkEnd w:id="4"/>
          </w:p>
          <w:p>
            <w:pPr>
              <w:pStyle w:val="34"/>
              <w:numPr>
                <w:ilvl w:val="1"/>
                <w:numId w:val="8"/>
              </w:numPr>
              <w:overflowPunct w:val="0"/>
              <w:autoSpaceDE w:val="0"/>
              <w:autoSpaceDN w:val="0"/>
              <w:adjustRightInd w:val="0"/>
              <w:spacing w:after="180"/>
              <w:ind w:firstLineChars="0"/>
              <w:jc w:val="left"/>
              <w:textAlignment w:val="baseline"/>
              <w:rPr>
                <w:rFonts w:hint="default" w:eastAsia="宋体"/>
                <w:i w:val="0"/>
                <w:iCs w:val="0"/>
                <w:sz w:val="20"/>
                <w:szCs w:val="20"/>
                <w:vertAlign w:val="baseline"/>
                <w:lang w:val="en-US" w:eastAsia="zh-CN"/>
              </w:rPr>
            </w:pPr>
            <w:r>
              <w:rPr>
                <w:rFonts w:ascii="Times New Roman" w:hAnsi="Times New Roman" w:cs="Times New Roman"/>
                <w:sz w:val="20"/>
                <w:szCs w:val="20"/>
              </w:rPr>
              <w:t>Necessary signaling to support the above objectives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val="0"/>
              <w:keepLines w:val="0"/>
              <w:pageBreakBefore w:val="0"/>
              <w:widowControl/>
              <w:numPr>
                <w:ilvl w:val="2"/>
                <w:numId w:val="0"/>
              </w:numPr>
              <w:kinsoku/>
              <w:wordWrap/>
              <w:overflowPunct w:val="0"/>
              <w:topLinePunct w:val="0"/>
              <w:autoSpaceDE w:val="0"/>
              <w:autoSpaceDN w:val="0"/>
              <w:bidi w:val="0"/>
              <w:adjustRightInd w:val="0"/>
              <w:snapToGrid/>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 xml:space="preserve">Issue 2-1-1: </w:t>
            </w:r>
            <w:r>
              <w:rPr>
                <w:rFonts w:ascii="Times New Roman" w:hAnsi="Times New Roman"/>
                <w:b/>
                <w:color w:val="000000" w:themeColor="text1"/>
                <w:sz w:val="20"/>
                <w:szCs w:val="20"/>
                <w:u w:val="single"/>
                <w:lang w:val="en-US"/>
                <w14:textFill>
                  <w14:solidFill>
                    <w14:schemeClr w14:val="tx1"/>
                  </w14:solidFill>
                </w14:textFill>
              </w:rPr>
              <w:t>Applicable MPR for intra-band contiguous CA with single activated cell</w:t>
            </w:r>
          </w:p>
          <w:p>
            <w:pPr>
              <w:pStyle w:val="34"/>
              <w:keepNext w:val="0"/>
              <w:keepLines w:val="0"/>
              <w:pageBreakBefore w:val="0"/>
              <w:widowControl/>
              <w:numPr>
                <w:ilvl w:val="0"/>
                <w:numId w:val="9"/>
              </w:numPr>
              <w:kinsoku/>
              <w:wordWrap/>
              <w:overflowPunct/>
              <w:topLinePunct w:val="0"/>
              <w:autoSpaceDE/>
              <w:autoSpaceDN/>
              <w:bidi w:val="0"/>
              <w:adjustRightInd/>
              <w:snapToGrid/>
              <w:spacing w:after="120"/>
              <w:ind w:left="720"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Proposals </w:t>
            </w:r>
          </w:p>
          <w:p>
            <w:pPr>
              <w:pStyle w:val="34"/>
              <w:keepNext w:val="0"/>
              <w:keepLines w:val="0"/>
              <w:pageBreakBefore w:val="0"/>
              <w:widowControl/>
              <w:numPr>
                <w:ilvl w:val="1"/>
                <w:numId w:val="9"/>
              </w:numPr>
              <w:kinsoku/>
              <w:wordWrap/>
              <w:overflowPunct/>
              <w:topLinePunct w:val="0"/>
              <w:autoSpaceDE/>
              <w:autoSpaceDN/>
              <w:bidi w:val="0"/>
              <w:adjustRightInd/>
              <w:snapToGri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1:</w:t>
            </w:r>
            <w:r>
              <w:rPr>
                <w:color w:val="000000" w:themeColor="text1"/>
                <w:sz w:val="20"/>
                <w:szCs w:val="20"/>
                <w14:textFill>
                  <w14:solidFill>
                    <w14:schemeClr w14:val="tx1"/>
                  </w14:solidFill>
                </w14:textFill>
              </w:rPr>
              <w:t xml:space="preserve"> For PC3/PC2 intra-band contiguous carrier aggregation with single CC with activated cell, the single CC MPR requirements can apply. (Samsung)</w:t>
            </w:r>
          </w:p>
          <w:p>
            <w:pPr>
              <w:pStyle w:val="34"/>
              <w:keepNext w:val="0"/>
              <w:keepLines w:val="0"/>
              <w:pageBreakBefore w:val="0"/>
              <w:widowControl/>
              <w:numPr>
                <w:ilvl w:val="1"/>
                <w:numId w:val="9"/>
              </w:numPr>
              <w:kinsoku/>
              <w:wordWrap/>
              <w:overflowPunct/>
              <w:topLinePunct w:val="0"/>
              <w:autoSpaceDE/>
              <w:autoSpaceDN/>
              <w:bidi w:val="0"/>
              <w:adjustRightInd/>
              <w:snapToGri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2: For PC3/PC2 intra-band contiguous carrier aggregation with single CC with activated cell, the following MPR requirements are applied (Samsung, CATT,, Nokia, Huawei, LGE)</w:t>
            </w:r>
          </w:p>
          <w:p>
            <w:pPr>
              <w:pStyle w:val="34"/>
              <w:keepNext w:val="0"/>
              <w:keepLines w:val="0"/>
              <w:pageBreakBefore w:val="0"/>
              <w:widowControl/>
              <w:numPr>
                <w:ilvl w:val="2"/>
                <w:numId w:val="9"/>
              </w:numPr>
              <w:kinsoku/>
              <w:wordWrap/>
              <w:overflowPunct/>
              <w:topLinePunct w:val="0"/>
              <w:autoSpaceDE/>
              <w:autoSpaceDN/>
              <w:bidi w:val="0"/>
              <w:adjustRightInd/>
              <w:snapToGrid/>
              <w:spacing w:after="120"/>
              <w:ind w:left="2376"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MPR defined in Table 6.2.2-1 applies for UE power class 3 CA bandwidth classes B and C;</w:t>
            </w:r>
          </w:p>
          <w:p>
            <w:pPr>
              <w:pStyle w:val="34"/>
              <w:keepNext w:val="0"/>
              <w:keepLines w:val="0"/>
              <w:pageBreakBefore w:val="0"/>
              <w:widowControl/>
              <w:numPr>
                <w:ilvl w:val="2"/>
                <w:numId w:val="9"/>
              </w:numPr>
              <w:kinsoku/>
              <w:wordWrap/>
              <w:overflowPunct/>
              <w:topLinePunct w:val="0"/>
              <w:autoSpaceDE/>
              <w:autoSpaceDN/>
              <w:bidi w:val="0"/>
              <w:adjustRightInd/>
              <w:snapToGrid/>
              <w:spacing w:after="120"/>
              <w:ind w:left="2376"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MPR defined in Table 6.2D.2-1 applies for power class 2 CA bandwidth classes B and C when TxD capability is indicated;</w:t>
            </w:r>
          </w:p>
          <w:p>
            <w:pPr>
              <w:pStyle w:val="34"/>
              <w:keepNext w:val="0"/>
              <w:keepLines w:val="0"/>
              <w:pageBreakBefore w:val="0"/>
              <w:widowControl/>
              <w:numPr>
                <w:ilvl w:val="2"/>
                <w:numId w:val="9"/>
              </w:numPr>
              <w:kinsoku/>
              <w:wordWrap/>
              <w:overflowPunct/>
              <w:topLinePunct w:val="0"/>
              <w:autoSpaceDE/>
              <w:autoSpaceDN/>
              <w:bidi w:val="0"/>
              <w:adjustRightInd/>
              <w:snapToGrid/>
              <w:spacing w:after="120"/>
              <w:ind w:left="2376"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MPR defined in Table 6.2.2-2 applies for power class 2 CA bandwidth classes B and C when TxD capability is absent.</w:t>
            </w:r>
          </w:p>
          <w:p>
            <w:pPr>
              <w:pStyle w:val="34"/>
              <w:keepNext w:val="0"/>
              <w:keepLines w:val="0"/>
              <w:pageBreakBefore w:val="0"/>
              <w:widowControl/>
              <w:numPr>
                <w:ilvl w:val="0"/>
                <w:numId w:val="10"/>
              </w:numPr>
              <w:kinsoku/>
              <w:wordWrap/>
              <w:overflowPunct w:val="0"/>
              <w:topLinePunct w:val="0"/>
              <w:autoSpaceDE w:val="0"/>
              <w:autoSpaceDN w:val="0"/>
              <w:bidi w:val="0"/>
              <w:adjustRightInd w:val="0"/>
              <w:snapToGrid/>
              <w:spacing w:after="120"/>
              <w:ind w:firstLineChars="0"/>
              <w:textAlignment w:val="baseline"/>
              <w:rPr>
                <w:rFonts w:eastAsia="Yu Mincho"/>
                <w:color w:val="000000" w:themeColor="text1"/>
                <w:sz w:val="20"/>
                <w:szCs w:val="20"/>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 3: </w:t>
            </w:r>
            <w:r>
              <w:rPr>
                <w:color w:val="000000" w:themeColor="text1"/>
                <w:sz w:val="20"/>
                <w:szCs w:val="20"/>
                <w:lang w:eastAsia="zh-CN"/>
                <w14:textFill>
                  <w14:solidFill>
                    <w14:schemeClr w14:val="tx1"/>
                  </w14:solidFill>
                </w14:textFill>
              </w:rPr>
              <w:t>For PC3 and PC2 contiguous UL CA use the corresponding single CC MPR when only 1 CC is activated and refer to the following MPR tables and corresponding configured Tx power requirements (Qualcomm).</w:t>
            </w:r>
          </w:p>
          <w:p>
            <w:pPr>
              <w:keepNext w:val="0"/>
              <w:keepLines w:val="0"/>
              <w:pageBreakBefore w:val="0"/>
              <w:widowControl/>
              <w:numPr>
                <w:ilvl w:val="4"/>
                <w:numId w:val="11"/>
              </w:numPr>
              <w:kinsoku/>
              <w:wordWrap/>
              <w:overflowPunct w:val="0"/>
              <w:topLinePunct w:val="0"/>
              <w:autoSpaceDE w:val="0"/>
              <w:autoSpaceDN w:val="0"/>
              <w:bidi w:val="0"/>
              <w:adjustRightInd w:val="0"/>
              <w:snapToGrid/>
              <w:spacing w:after="180"/>
              <w:textAlignment w:val="baseline"/>
              <w:rPr>
                <w:rFonts w:eastAsia="Yu Mincho"/>
                <w:color w:val="000000" w:themeColor="text1"/>
                <w:sz w:val="20"/>
                <w:szCs w:val="20"/>
                <w14:textFill>
                  <w14:solidFill>
                    <w14:schemeClr w14:val="tx1"/>
                  </w14:solidFill>
                </w14:textFill>
              </w:rPr>
            </w:pPr>
            <w:r>
              <w:rPr>
                <w:rFonts w:eastAsia="Yu Mincho"/>
                <w:color w:val="000000" w:themeColor="text1"/>
                <w:sz w:val="20"/>
                <w:szCs w:val="20"/>
                <w14:textFill>
                  <w14:solidFill>
                    <w14:schemeClr w14:val="tx1"/>
                  </w14:solidFill>
                </w14:textFill>
              </w:rPr>
              <w:t xml:space="preserve">MPR defined in Table 6.2.2-1 applies for UE power class 3 CA bandwidth classes B and C, along with configured Tx power requirements for 6.2.4 </w:t>
            </w:r>
          </w:p>
          <w:p>
            <w:pPr>
              <w:keepNext w:val="0"/>
              <w:keepLines w:val="0"/>
              <w:pageBreakBefore w:val="0"/>
              <w:widowControl/>
              <w:numPr>
                <w:ilvl w:val="4"/>
                <w:numId w:val="11"/>
              </w:numPr>
              <w:kinsoku/>
              <w:wordWrap/>
              <w:overflowPunct w:val="0"/>
              <w:topLinePunct w:val="0"/>
              <w:autoSpaceDE w:val="0"/>
              <w:autoSpaceDN w:val="0"/>
              <w:bidi w:val="0"/>
              <w:adjustRightInd w:val="0"/>
              <w:snapToGrid/>
              <w:spacing w:after="180"/>
              <w:textAlignment w:val="baseline"/>
              <w:rPr>
                <w:rFonts w:eastAsia="Yu Mincho"/>
                <w:color w:val="000000" w:themeColor="text1"/>
                <w:sz w:val="20"/>
                <w:szCs w:val="20"/>
                <w14:textFill>
                  <w14:solidFill>
                    <w14:schemeClr w14:val="tx1"/>
                  </w14:solidFill>
                </w14:textFill>
              </w:rPr>
            </w:pPr>
            <w:r>
              <w:rPr>
                <w:rFonts w:eastAsia="Yu Mincho"/>
                <w:color w:val="000000" w:themeColor="text1"/>
                <w:sz w:val="20"/>
                <w:szCs w:val="20"/>
                <w14:textFill>
                  <w14:solidFill>
                    <w14:schemeClr w14:val="tx1"/>
                  </w14:solidFill>
                </w14:textFill>
              </w:rPr>
              <w:t xml:space="preserve">MPR defined in Table 6.2D.2-1 applies for power class 2 CA bandwidth classes B and C when TxD capability is indicated, along with configured Tx power requirements for 6.2D.4  </w:t>
            </w:r>
          </w:p>
          <w:p>
            <w:pPr>
              <w:keepNext w:val="0"/>
              <w:keepLines w:val="0"/>
              <w:pageBreakBefore w:val="0"/>
              <w:widowControl/>
              <w:numPr>
                <w:ilvl w:val="4"/>
                <w:numId w:val="11"/>
              </w:numPr>
              <w:kinsoku/>
              <w:wordWrap/>
              <w:overflowPunct w:val="0"/>
              <w:topLinePunct w:val="0"/>
              <w:autoSpaceDE w:val="0"/>
              <w:autoSpaceDN w:val="0"/>
              <w:bidi w:val="0"/>
              <w:adjustRightInd w:val="0"/>
              <w:snapToGrid/>
              <w:spacing w:after="180"/>
              <w:textAlignment w:val="baseline"/>
              <w:rPr>
                <w:rFonts w:eastAsia="Yu Mincho"/>
                <w:color w:val="000000" w:themeColor="text1"/>
                <w:sz w:val="20"/>
                <w:szCs w:val="20"/>
                <w14:textFill>
                  <w14:solidFill>
                    <w14:schemeClr w14:val="tx1"/>
                  </w14:solidFill>
                </w14:textFill>
              </w:rPr>
            </w:pPr>
            <w:r>
              <w:rPr>
                <w:rFonts w:eastAsia="Yu Mincho"/>
                <w:color w:val="000000" w:themeColor="text1"/>
                <w:sz w:val="20"/>
                <w:szCs w:val="20"/>
                <w14:textFill>
                  <w14:solidFill>
                    <w14:schemeClr w14:val="tx1"/>
                  </w14:solidFill>
                </w14:textFill>
              </w:rPr>
              <w:t xml:space="preserve">MPR defined in Table 6.2.2-2 applies for power class 2 CA bandwidth classes B and C when TxD capability is absent, along with configured Tx power requirements for 6.2.4 </w:t>
            </w:r>
          </w:p>
          <w:p>
            <w:pPr>
              <w:pStyle w:val="34"/>
              <w:keepNext w:val="0"/>
              <w:keepLines w:val="0"/>
              <w:pageBreakBefore w:val="0"/>
              <w:widowControl/>
              <w:numPr>
                <w:ilvl w:val="0"/>
                <w:numId w:val="9"/>
              </w:numPr>
              <w:kinsoku/>
              <w:wordWrap/>
              <w:overflowPunct/>
              <w:topLinePunct w:val="0"/>
              <w:autoSpaceDE/>
              <w:autoSpaceDN/>
              <w:bidi w:val="0"/>
              <w:adjustRightInd/>
              <w:snapToGri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keepNext w:val="0"/>
              <w:keepLines w:val="0"/>
              <w:pageBreakBefore w:val="0"/>
              <w:widowControl/>
              <w:numPr>
                <w:ilvl w:val="1"/>
                <w:numId w:val="9"/>
              </w:numPr>
              <w:kinsoku/>
              <w:wordWrap/>
              <w:overflowPunct/>
              <w:topLinePunct w:val="0"/>
              <w:autoSpaceDE/>
              <w:autoSpaceDN/>
              <w:bidi w:val="0"/>
              <w:adjustRightInd/>
              <w:snapToGri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FFS in next meeting</w:t>
            </w:r>
          </w:p>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after="180"/>
              <w:textAlignment w:val="baseline"/>
              <w:rPr>
                <w:rFonts w:hint="default"/>
                <w:b/>
                <w:bCs/>
                <w:i/>
                <w:iCs/>
                <w:sz w:val="20"/>
                <w:szCs w:val="20"/>
                <w:vertAlign w:val="baseline"/>
                <w:lang w:val="en-US" w:eastAsia="zh-CN"/>
              </w:rPr>
            </w:pPr>
          </w:p>
        </w:tc>
      </w:tr>
    </w:tbl>
    <w:p>
      <w:pPr>
        <w:rPr>
          <w:rFonts w:hint="eastAsia" w:eastAsia="宋体"/>
          <w:color w:val="000000" w:themeColor="text1"/>
          <w:sz w:val="20"/>
          <w:szCs w:val="20"/>
          <w:lang w:val="en-US" w:eastAsia="zh-CN"/>
          <w14:textFill>
            <w14:solidFill>
              <w14:schemeClr w14:val="tx1"/>
            </w14:solidFill>
          </w14:textFill>
        </w:rPr>
      </w:pPr>
      <w:r>
        <w:rPr>
          <w:rFonts w:hint="eastAsia"/>
          <w:sz w:val="20"/>
          <w:szCs w:val="20"/>
          <w:lang w:val="en-US" w:eastAsia="zh-CN"/>
        </w:rPr>
        <w:t xml:space="preserve">For this remaining issue, the point for further discussion is whether </w:t>
      </w:r>
      <w:r>
        <w:rPr>
          <w:rFonts w:eastAsia="宋体"/>
          <w:sz w:val="20"/>
          <w:szCs w:val="20"/>
          <w:lang w:eastAsia="zh-CN"/>
        </w:rPr>
        <w:t>contiguous UL CA</w:t>
      </w:r>
      <w:r>
        <w:rPr>
          <w:rFonts w:hint="eastAsia"/>
          <w:sz w:val="20"/>
          <w:szCs w:val="20"/>
          <w:lang w:val="en-US" w:eastAsia="zh-CN"/>
        </w:rPr>
        <w:t xml:space="preserve"> need to support power boosting when only 1 CC is activated because </w:t>
      </w:r>
      <w:r>
        <w:rPr>
          <w:rFonts w:eastAsiaTheme="minorEastAsia"/>
          <w:sz w:val="20"/>
          <w:szCs w:val="20"/>
          <w:lang w:eastAsia="zh-CN"/>
        </w:rPr>
        <w:t>Table 6.2.2-1</w:t>
      </w:r>
      <w:r>
        <w:rPr>
          <w:rFonts w:hint="eastAsia" w:eastAsiaTheme="minorEastAsia"/>
          <w:sz w:val="20"/>
          <w:szCs w:val="20"/>
          <w:lang w:val="en-US" w:eastAsia="zh-CN"/>
        </w:rPr>
        <w:t>,Table 6.2D.2-1 and Table 6.2.2-2 include notes supporting power boost</w:t>
      </w:r>
      <w:r>
        <w:rPr>
          <w:rFonts w:hint="eastAsia"/>
          <w:sz w:val="20"/>
          <w:szCs w:val="20"/>
          <w:lang w:val="en-US" w:eastAsia="zh-CN"/>
        </w:rPr>
        <w:t xml:space="preserve">. For PC3 MPR, notes in </w:t>
      </w:r>
      <w:r>
        <w:rPr>
          <w:rFonts w:eastAsia="Yu Mincho"/>
          <w:color w:val="000000" w:themeColor="text1"/>
          <w:sz w:val="20"/>
          <w:szCs w:val="20"/>
          <w14:textFill>
            <w14:solidFill>
              <w14:schemeClr w14:val="tx1"/>
            </w14:solidFill>
          </w14:textFill>
        </w:rPr>
        <w:t>Table 6.2.2-1</w:t>
      </w:r>
      <w:r>
        <w:rPr>
          <w:rFonts w:hint="eastAsia" w:eastAsia="宋体"/>
          <w:color w:val="000000" w:themeColor="text1"/>
          <w:sz w:val="20"/>
          <w:szCs w:val="20"/>
          <w:lang w:val="en-US" w:eastAsia="zh-CN"/>
          <w14:textFill>
            <w14:solidFill>
              <w14:schemeClr w14:val="tx1"/>
            </w14:solidFill>
          </w14:textFill>
        </w:rPr>
        <w:t xml:space="preserve"> are as follows:</w:t>
      </w:r>
    </w:p>
    <w:p>
      <w:pPr>
        <w:pStyle w:val="70"/>
        <w:keepNext/>
        <w:keepLines/>
        <w:pageBreakBefore w:val="0"/>
        <w:widowControl/>
        <w:kinsoku/>
        <w:wordWrap/>
        <w:overflowPunct/>
        <w:topLinePunct w:val="0"/>
        <w:autoSpaceDE/>
        <w:autoSpaceDN/>
        <w:bidi w:val="0"/>
        <w:adjustRightInd/>
        <w:snapToGrid/>
        <w:spacing w:line="260" w:lineRule="auto"/>
        <w:ind w:left="1270" w:leftChars="200" w:right="420" w:rightChars="200" w:hanging="850"/>
        <w:textAlignment w:val="auto"/>
        <w:rPr>
          <w:sz w:val="16"/>
          <w:szCs w:val="18"/>
        </w:rPr>
      </w:pPr>
      <w:r>
        <w:rPr>
          <w:sz w:val="16"/>
          <w:szCs w:val="18"/>
        </w:rPr>
        <w:t>NOTE 1:</w:t>
      </w:r>
      <w:r>
        <w:rPr>
          <w:sz w:val="16"/>
          <w:szCs w:val="18"/>
        </w:rPr>
        <w:tab/>
      </w:r>
      <w:r>
        <w:rPr>
          <w:sz w:val="16"/>
          <w:szCs w:val="18"/>
        </w:rPr>
        <w:t xml:space="preserve">Applicable for UE operating in TDD mode with Pi/2 BPSK modulation and </w:t>
      </w:r>
      <w:bookmarkStart w:id="5" w:name="_Hlk525291220"/>
      <w:r>
        <w:rPr>
          <w:sz w:val="16"/>
          <w:szCs w:val="18"/>
        </w:rPr>
        <w:t xml:space="preserve">UE indicates support for UE capability </w:t>
      </w:r>
      <w:r>
        <w:rPr>
          <w:i/>
          <w:sz w:val="16"/>
          <w:szCs w:val="18"/>
          <w:lang w:val="en-US"/>
        </w:rPr>
        <w:t>powerBoosting-pi2BPSK</w:t>
      </w:r>
      <w:r>
        <w:rPr>
          <w:i/>
          <w:sz w:val="16"/>
          <w:szCs w:val="18"/>
        </w:rPr>
        <w:t xml:space="preserve"> </w:t>
      </w:r>
      <w:bookmarkEnd w:id="5"/>
      <w:r>
        <w:rPr>
          <w:sz w:val="16"/>
          <w:szCs w:val="18"/>
        </w:rPr>
        <w:t xml:space="preserve">and if the IE </w:t>
      </w:r>
      <w:r>
        <w:rPr>
          <w:i/>
          <w:sz w:val="16"/>
          <w:szCs w:val="18"/>
          <w:lang w:val="en-US"/>
        </w:rPr>
        <w:t>powerBoostPi2BPSK</w:t>
      </w:r>
      <w:r>
        <w:rPr>
          <w:sz w:val="16"/>
          <w:szCs w:val="18"/>
        </w:rPr>
        <w:t xml:space="preserve"> is set to 1 and 40 % or less slots in radio frame are used for UL transmission for bands n40, n41, n77, n78 and n79. The reference power of 0 dB MPR is 26 dBm.</w:t>
      </w:r>
    </w:p>
    <w:p>
      <w:pPr>
        <w:pStyle w:val="70"/>
        <w:keepNext/>
        <w:keepLines/>
        <w:pageBreakBefore w:val="0"/>
        <w:widowControl/>
        <w:kinsoku/>
        <w:wordWrap/>
        <w:overflowPunct/>
        <w:topLinePunct w:val="0"/>
        <w:autoSpaceDE/>
        <w:autoSpaceDN/>
        <w:bidi w:val="0"/>
        <w:adjustRightInd/>
        <w:snapToGrid/>
        <w:spacing w:line="260" w:lineRule="auto"/>
        <w:ind w:left="1270" w:leftChars="200" w:right="420" w:rightChars="200" w:hanging="850"/>
        <w:textAlignment w:val="auto"/>
        <w:rPr>
          <w:sz w:val="16"/>
          <w:szCs w:val="18"/>
        </w:rPr>
      </w:pPr>
      <w:r>
        <w:rPr>
          <w:sz w:val="16"/>
          <w:szCs w:val="18"/>
        </w:rPr>
        <w:t>NOTE 2:</w:t>
      </w:r>
      <w:r>
        <w:rPr>
          <w:sz w:val="16"/>
          <w:szCs w:val="18"/>
        </w:rPr>
        <w:tab/>
      </w:r>
      <w:r>
        <w:rPr>
          <w:sz w:val="16"/>
          <w:szCs w:val="18"/>
        </w:rPr>
        <w:t>Applicable for conditions where note 1 does not apply.</w:t>
      </w:r>
    </w:p>
    <w:p>
      <w:pPr>
        <w:pStyle w:val="70"/>
        <w:keepNext/>
        <w:keepLines/>
        <w:pageBreakBefore w:val="0"/>
        <w:widowControl/>
        <w:kinsoku/>
        <w:wordWrap/>
        <w:overflowPunct/>
        <w:topLinePunct w:val="0"/>
        <w:autoSpaceDE/>
        <w:autoSpaceDN/>
        <w:bidi w:val="0"/>
        <w:adjustRightInd/>
        <w:snapToGrid/>
        <w:spacing w:line="260" w:lineRule="auto"/>
        <w:ind w:left="1270" w:leftChars="200" w:right="420" w:rightChars="200" w:hanging="850"/>
        <w:textAlignment w:val="auto"/>
        <w:rPr>
          <w:sz w:val="16"/>
          <w:szCs w:val="18"/>
        </w:rPr>
      </w:pPr>
      <w:r>
        <w:rPr>
          <w:sz w:val="16"/>
          <w:szCs w:val="18"/>
        </w:rPr>
        <w:t>NOTE 3:</w:t>
      </w:r>
      <w:r>
        <w:rPr>
          <w:sz w:val="16"/>
          <w:szCs w:val="18"/>
        </w:rPr>
        <w:tab/>
      </w:r>
      <w:r>
        <w:rPr>
          <w:sz w:val="16"/>
          <w:szCs w:val="18"/>
        </w:rPr>
        <w:t>For 3 MHz channel bandwidth the  Pi/2 BPSK edge allocation MPR is 1 dB</w:t>
      </w:r>
    </w:p>
    <w:p>
      <w:pPr>
        <w:keepNext/>
        <w:keepLines/>
        <w:pageBreakBefore w:val="0"/>
        <w:widowControl/>
        <w:kinsoku/>
        <w:wordWrap/>
        <w:overflowPunct/>
        <w:topLinePunct w:val="0"/>
        <w:autoSpaceDE/>
        <w:autoSpaceDN/>
        <w:bidi w:val="0"/>
        <w:adjustRightInd/>
        <w:snapToGrid/>
        <w:spacing w:after="0" w:line="260" w:lineRule="auto"/>
        <w:ind w:left="1270" w:leftChars="200" w:right="420" w:rightChars="200" w:hanging="850"/>
        <w:textAlignment w:val="auto"/>
        <w:rPr>
          <w:rFonts w:ascii="Arial" w:hAnsi="Arial"/>
          <w:sz w:val="16"/>
          <w:szCs w:val="18"/>
        </w:rPr>
      </w:pPr>
      <w:r>
        <w:rPr>
          <w:rFonts w:ascii="Arial" w:hAnsi="Arial"/>
          <w:sz w:val="16"/>
          <w:szCs w:val="18"/>
        </w:rPr>
        <w:t>NOTE 4:</w:t>
      </w:r>
      <w:r>
        <w:rPr>
          <w:sz w:val="20"/>
          <w:szCs w:val="18"/>
        </w:rPr>
        <w:tab/>
      </w:r>
      <w:r>
        <w:rPr>
          <w:rFonts w:ascii="Arial" w:hAnsi="Arial"/>
          <w:sz w:val="16"/>
          <w:szCs w:val="18"/>
        </w:rPr>
        <w:t>For a UE indicating support for UE capability [</w:t>
      </w:r>
      <w:r>
        <w:rPr>
          <w:rFonts w:ascii="Arial" w:hAnsi="Arial"/>
          <w:i/>
          <w:iCs/>
          <w:sz w:val="16"/>
          <w:szCs w:val="18"/>
        </w:rPr>
        <w:t>powerBoostRel18</w:t>
      </w:r>
      <w:r>
        <w:rPr>
          <w:rFonts w:ascii="Arial" w:hAnsi="Arial"/>
          <w:sz w:val="16"/>
          <w:szCs w:val="18"/>
        </w:rPr>
        <w:t>] or [</w:t>
      </w:r>
      <w:r>
        <w:rPr>
          <w:rFonts w:ascii="Arial" w:hAnsi="Arial"/>
          <w:i/>
          <w:iCs/>
          <w:sz w:val="16"/>
          <w:szCs w:val="18"/>
        </w:rPr>
        <w:t>powerBoostTSRel18</w:t>
      </w:r>
      <w:r>
        <w:rPr>
          <w:rFonts w:ascii="Arial" w:hAnsi="Arial"/>
          <w:sz w:val="16"/>
          <w:szCs w:val="18"/>
        </w:rPr>
        <w:t>] and if the IE [</w:t>
      </w:r>
      <w:r>
        <w:rPr>
          <w:rFonts w:ascii="Arial" w:hAnsi="Arial"/>
          <w:i/>
          <w:iCs/>
          <w:sz w:val="16"/>
          <w:szCs w:val="18"/>
        </w:rPr>
        <w:t>powerBoostPi2BPSKRel18</w:t>
      </w:r>
      <w:r>
        <w:rPr>
          <w:rFonts w:ascii="Arial" w:hAnsi="Arial"/>
          <w:sz w:val="16"/>
          <w:szCs w:val="18"/>
        </w:rPr>
        <w:t>] is set to 1, the reference power is increased by</w:t>
      </w:r>
      <w:r>
        <w:rPr>
          <w:rFonts w:ascii="Arial" w:hAnsi="Arial"/>
          <w:sz w:val="16"/>
          <w:szCs w:val="18"/>
          <w:lang w:eastAsia="zh-CN"/>
        </w:rPr>
        <w:t xml:space="preserve"> </w:t>
      </w:r>
      <w:r>
        <w:rPr>
          <w:rFonts w:ascii="Arial" w:hAnsi="Arial"/>
          <w:sz w:val="16"/>
          <w:szCs w:val="18"/>
        </w:rPr>
        <w:t>[</w:t>
      </w:r>
      <w:r>
        <w:rPr>
          <w:rFonts w:ascii="Arial" w:hAnsi="Arial"/>
          <w:sz w:val="16"/>
          <w:szCs w:val="18"/>
          <w:lang w:eastAsia="zh-CN"/>
        </w:rPr>
        <w:t>ΔP</w:t>
      </w:r>
      <w:r>
        <w:rPr>
          <w:rFonts w:ascii="Arial" w:hAnsi="Arial"/>
          <w:sz w:val="16"/>
          <w:szCs w:val="18"/>
          <w:vertAlign w:val="subscript"/>
          <w:lang w:eastAsia="zh-CN"/>
        </w:rPr>
        <w:t xml:space="preserve">PowerBoost </w:t>
      </w:r>
      <w:r>
        <w:rPr>
          <w:rFonts w:ascii="Arial" w:hAnsi="Arial"/>
          <w:sz w:val="16"/>
          <w:szCs w:val="18"/>
          <w:lang w:eastAsia="zh-CN"/>
        </w:rPr>
        <w:t>- ΔP</w:t>
      </w:r>
      <w:r>
        <w:rPr>
          <w:rFonts w:ascii="Arial" w:hAnsi="Arial"/>
          <w:sz w:val="16"/>
          <w:szCs w:val="18"/>
          <w:vertAlign w:val="subscript"/>
          <w:lang w:eastAsia="zh-CN"/>
        </w:rPr>
        <w:t>PowerClass</w:t>
      </w:r>
      <w:r>
        <w:rPr>
          <w:rFonts w:ascii="Arial" w:hAnsi="Arial"/>
          <w:sz w:val="16"/>
          <w:szCs w:val="18"/>
        </w:rPr>
        <w:t>]</w:t>
      </w:r>
      <w:r>
        <w:rPr>
          <w:rFonts w:ascii="Arial" w:hAnsi="Arial"/>
          <w:sz w:val="16"/>
          <w:szCs w:val="18"/>
          <w:lang w:eastAsia="zh-CN"/>
        </w:rPr>
        <w:t xml:space="preserve"> </w:t>
      </w:r>
    </w:p>
    <w:p>
      <w:pPr>
        <w:keepNext/>
        <w:keepLines/>
        <w:pageBreakBefore w:val="0"/>
        <w:widowControl/>
        <w:kinsoku/>
        <w:wordWrap/>
        <w:overflowPunct/>
        <w:topLinePunct w:val="0"/>
        <w:autoSpaceDE/>
        <w:autoSpaceDN/>
        <w:bidi w:val="0"/>
        <w:adjustRightInd/>
        <w:snapToGrid/>
        <w:spacing w:after="0" w:line="260" w:lineRule="auto"/>
        <w:ind w:left="1270" w:leftChars="200" w:right="420" w:rightChars="200" w:hanging="850"/>
        <w:textAlignment w:val="auto"/>
        <w:rPr>
          <w:rFonts w:hint="eastAsia" w:ascii="Arial" w:hAnsi="Arial"/>
          <w:sz w:val="16"/>
          <w:szCs w:val="18"/>
          <w:lang w:val="en-US" w:eastAsia="zh-CN"/>
        </w:rPr>
      </w:pPr>
      <w:r>
        <w:rPr>
          <w:rFonts w:ascii="Arial" w:hAnsi="Arial"/>
          <w:sz w:val="16"/>
          <w:szCs w:val="18"/>
        </w:rPr>
        <w:t>NOTE 5:</w:t>
      </w:r>
      <w:r>
        <w:rPr>
          <w:rFonts w:ascii="Arial" w:hAnsi="Arial"/>
          <w:sz w:val="16"/>
          <w:szCs w:val="18"/>
        </w:rPr>
        <w:tab/>
      </w:r>
      <w:r>
        <w:rPr>
          <w:rFonts w:ascii="Arial" w:hAnsi="Arial"/>
          <w:sz w:val="16"/>
          <w:szCs w:val="18"/>
        </w:rPr>
        <w:t>For a UE indicating support for UE capability [</w:t>
      </w:r>
      <w:r>
        <w:rPr>
          <w:rFonts w:ascii="Arial" w:hAnsi="Arial"/>
          <w:i/>
          <w:iCs/>
          <w:sz w:val="16"/>
          <w:szCs w:val="18"/>
        </w:rPr>
        <w:t>powerBoostRel18</w:t>
      </w:r>
      <w:r>
        <w:rPr>
          <w:rFonts w:ascii="Arial" w:hAnsi="Arial"/>
          <w:sz w:val="16"/>
          <w:szCs w:val="18"/>
        </w:rPr>
        <w:t>] or [</w:t>
      </w:r>
      <w:r>
        <w:rPr>
          <w:rFonts w:ascii="Arial" w:hAnsi="Arial"/>
          <w:i/>
          <w:iCs/>
          <w:sz w:val="16"/>
          <w:szCs w:val="18"/>
        </w:rPr>
        <w:t>powerBoostTSRel18</w:t>
      </w:r>
      <w:r>
        <w:rPr>
          <w:rFonts w:ascii="Arial" w:hAnsi="Arial"/>
          <w:sz w:val="16"/>
          <w:szCs w:val="18"/>
        </w:rPr>
        <w:t>] and if the IE [</w:t>
      </w:r>
      <w:bookmarkStart w:id="6" w:name="_Hlk150932604"/>
      <w:r>
        <w:rPr>
          <w:rFonts w:ascii="Arial" w:hAnsi="Arial"/>
          <w:i/>
          <w:iCs/>
          <w:sz w:val="16"/>
          <w:szCs w:val="18"/>
        </w:rPr>
        <w:t>powerBoostQPSKRel18</w:t>
      </w:r>
      <w:bookmarkEnd w:id="6"/>
      <w:r>
        <w:rPr>
          <w:rFonts w:ascii="Arial" w:hAnsi="Arial"/>
          <w:sz w:val="16"/>
          <w:szCs w:val="18"/>
        </w:rPr>
        <w:t>] is set to 1, the reference power is increased by [</w:t>
      </w:r>
      <w:r>
        <w:rPr>
          <w:rFonts w:ascii="Arial" w:hAnsi="Arial"/>
          <w:sz w:val="16"/>
          <w:szCs w:val="18"/>
          <w:lang w:eastAsia="zh-CN"/>
        </w:rPr>
        <w:t>ΔPPowerBoost - ΔPPowerClass</w:t>
      </w:r>
      <w:r>
        <w:rPr>
          <w:rFonts w:ascii="Arial" w:hAnsi="Arial"/>
          <w:sz w:val="16"/>
          <w:szCs w:val="18"/>
        </w:rPr>
        <w:t>]</w:t>
      </w:r>
    </w:p>
    <w:p>
      <w:pPr>
        <w:rPr>
          <w:rFonts w:hint="eastAsia" w:eastAsia="宋体"/>
          <w:color w:val="000000" w:themeColor="text1"/>
          <w:sz w:val="20"/>
          <w:szCs w:val="20"/>
          <w:lang w:val="en-US" w:eastAsia="zh-CN"/>
          <w14:textFill>
            <w14:solidFill>
              <w14:schemeClr w14:val="tx1"/>
            </w14:solidFill>
          </w14:textFill>
        </w:rPr>
      </w:pPr>
      <w:r>
        <w:rPr>
          <w:rFonts w:hint="eastAsia"/>
          <w:sz w:val="20"/>
          <w:szCs w:val="20"/>
          <w:lang w:val="en-US" w:eastAsia="zh-CN"/>
        </w:rPr>
        <w:t xml:space="preserve">For PC2 MPR, notes in </w:t>
      </w:r>
      <w:r>
        <w:rPr>
          <w:rFonts w:eastAsia="Yu Mincho"/>
          <w:color w:val="000000" w:themeColor="text1"/>
          <w:sz w:val="20"/>
          <w:szCs w:val="20"/>
          <w14:textFill>
            <w14:solidFill>
              <w14:schemeClr w14:val="tx1"/>
            </w14:solidFill>
          </w14:textFill>
        </w:rPr>
        <w:t>Table 6.2.2-</w:t>
      </w:r>
      <w:r>
        <w:rPr>
          <w:rFonts w:hint="eastAsia" w:eastAsia="宋体"/>
          <w:color w:val="000000" w:themeColor="text1"/>
          <w:sz w:val="20"/>
          <w:szCs w:val="20"/>
          <w:lang w:val="en-US" w:eastAsia="zh-CN"/>
          <w14:textFill>
            <w14:solidFill>
              <w14:schemeClr w14:val="tx1"/>
            </w14:solidFill>
          </w14:textFill>
        </w:rPr>
        <w:t>2 are as follows:</w:t>
      </w:r>
    </w:p>
    <w:p>
      <w:pPr>
        <w:pStyle w:val="70"/>
        <w:keepNext/>
        <w:keepLines/>
        <w:pageBreakBefore w:val="0"/>
        <w:widowControl/>
        <w:kinsoku/>
        <w:wordWrap/>
        <w:overflowPunct/>
        <w:topLinePunct w:val="0"/>
        <w:autoSpaceDE/>
        <w:autoSpaceDN/>
        <w:bidi w:val="0"/>
        <w:adjustRightInd/>
        <w:snapToGrid/>
        <w:spacing w:line="260" w:lineRule="auto"/>
        <w:ind w:left="1270" w:leftChars="200" w:right="420" w:rightChars="200" w:hanging="850"/>
        <w:textAlignment w:val="auto"/>
        <w:rPr>
          <w:sz w:val="16"/>
          <w:szCs w:val="18"/>
        </w:rPr>
      </w:pPr>
      <w:r>
        <w:rPr>
          <w:sz w:val="16"/>
          <w:szCs w:val="18"/>
        </w:rPr>
        <w:t>NOTE 1:</w:t>
      </w:r>
      <w:r>
        <w:rPr>
          <w:sz w:val="16"/>
          <w:szCs w:val="18"/>
        </w:rPr>
        <w:tab/>
      </w:r>
      <w:r>
        <w:rPr>
          <w:sz w:val="16"/>
          <w:szCs w:val="18"/>
        </w:rPr>
        <w:t>Applicable for a UE indicating support for UE capability [powerBoostRel18] or [powerBoostRel18TS] and if the IE [powerBoostPi2BPSKRel18] is set to 1. The reference power is increased by [</w:t>
      </w:r>
      <w:r>
        <w:rPr>
          <w:sz w:val="16"/>
          <w:szCs w:val="18"/>
          <w:lang w:eastAsia="zh-CN"/>
        </w:rPr>
        <w:t>ΔPPowerBoost - ΔPPowerClass</w:t>
      </w:r>
      <w:r>
        <w:rPr>
          <w:sz w:val="16"/>
          <w:szCs w:val="18"/>
        </w:rPr>
        <w:t>]</w:t>
      </w:r>
    </w:p>
    <w:p>
      <w:pPr>
        <w:pStyle w:val="70"/>
        <w:keepNext/>
        <w:keepLines/>
        <w:pageBreakBefore w:val="0"/>
        <w:widowControl/>
        <w:kinsoku/>
        <w:wordWrap/>
        <w:overflowPunct/>
        <w:topLinePunct w:val="0"/>
        <w:autoSpaceDE/>
        <w:autoSpaceDN/>
        <w:bidi w:val="0"/>
        <w:adjustRightInd/>
        <w:snapToGrid/>
        <w:spacing w:line="260" w:lineRule="auto"/>
        <w:ind w:left="1270" w:leftChars="200" w:right="420" w:rightChars="200" w:hanging="850"/>
        <w:textAlignment w:val="auto"/>
        <w:rPr>
          <w:sz w:val="16"/>
          <w:szCs w:val="18"/>
        </w:rPr>
      </w:pPr>
      <w:r>
        <w:rPr>
          <w:sz w:val="16"/>
          <w:szCs w:val="18"/>
        </w:rPr>
        <w:t>NOTE 2:</w:t>
      </w:r>
      <w:r>
        <w:rPr>
          <w:sz w:val="16"/>
          <w:szCs w:val="18"/>
        </w:rPr>
        <w:tab/>
      </w:r>
      <w:r>
        <w:rPr>
          <w:sz w:val="16"/>
          <w:szCs w:val="18"/>
        </w:rPr>
        <w:t>Applicable for a UE indicating support for UE capability [powerBoostRel18] or [powerBoostRel18TS] and if the IE [powerBoostQPSKRel18] is set to 1. The reference power is increased by [</w:t>
      </w:r>
      <w:r>
        <w:rPr>
          <w:sz w:val="16"/>
          <w:szCs w:val="18"/>
          <w:lang w:eastAsia="zh-CN"/>
        </w:rPr>
        <w:t>ΔPPowerBoost - ΔPPowerClass</w:t>
      </w:r>
      <w:r>
        <w:rPr>
          <w:sz w:val="16"/>
          <w:szCs w:val="18"/>
        </w:rPr>
        <w:t>]</w:t>
      </w:r>
    </w:p>
    <w:p>
      <w:pPr>
        <w:rPr>
          <w:sz w:val="16"/>
          <w:szCs w:val="18"/>
        </w:rPr>
      </w:pPr>
      <w:r>
        <w:rPr>
          <w:rFonts w:hint="eastAsia"/>
          <w:sz w:val="20"/>
          <w:szCs w:val="20"/>
          <w:lang w:val="en-US" w:eastAsia="zh-CN"/>
        </w:rPr>
        <w:t xml:space="preserve">For PC2 MPR, notes in </w:t>
      </w:r>
      <w:r>
        <w:rPr>
          <w:rFonts w:eastAsia="Yu Mincho"/>
          <w:color w:val="000000" w:themeColor="text1"/>
          <w:sz w:val="20"/>
          <w:szCs w:val="20"/>
          <w14:textFill>
            <w14:solidFill>
              <w14:schemeClr w14:val="tx1"/>
            </w14:solidFill>
          </w14:textFill>
        </w:rPr>
        <w:t>Table 6.2</w:t>
      </w:r>
      <w:r>
        <w:rPr>
          <w:rFonts w:hint="eastAsia" w:eastAsia="宋体"/>
          <w:color w:val="000000" w:themeColor="text1"/>
          <w:sz w:val="20"/>
          <w:szCs w:val="20"/>
          <w:lang w:val="en-US" w:eastAsia="zh-CN"/>
          <w14:textFill>
            <w14:solidFill>
              <w14:schemeClr w14:val="tx1"/>
            </w14:solidFill>
          </w14:textFill>
        </w:rPr>
        <w:t>D</w:t>
      </w:r>
      <w:r>
        <w:rPr>
          <w:rFonts w:eastAsia="Yu Mincho"/>
          <w:color w:val="000000" w:themeColor="text1"/>
          <w:sz w:val="20"/>
          <w:szCs w:val="20"/>
          <w14:textFill>
            <w14:solidFill>
              <w14:schemeClr w14:val="tx1"/>
            </w14:solidFill>
          </w14:textFill>
        </w:rPr>
        <w:t>.2-</w:t>
      </w:r>
      <w:r>
        <w:rPr>
          <w:rFonts w:hint="eastAsia"/>
          <w:color w:val="000000" w:themeColor="text1"/>
          <w:sz w:val="20"/>
          <w:szCs w:val="20"/>
          <w:lang w:val="en-US" w:eastAsia="zh-CN"/>
          <w14:textFill>
            <w14:solidFill>
              <w14:schemeClr w14:val="tx1"/>
            </w14:solidFill>
          </w14:textFill>
        </w:rPr>
        <w:t>1</w:t>
      </w:r>
      <w:r>
        <w:rPr>
          <w:rFonts w:hint="eastAsia" w:eastAsia="宋体"/>
          <w:color w:val="000000" w:themeColor="text1"/>
          <w:sz w:val="20"/>
          <w:szCs w:val="20"/>
          <w:lang w:val="en-US" w:eastAsia="zh-CN"/>
          <w14:textFill>
            <w14:solidFill>
              <w14:schemeClr w14:val="tx1"/>
            </w14:solidFill>
          </w14:textFill>
        </w:rPr>
        <w:t xml:space="preserve"> are as follows:</w:t>
      </w:r>
    </w:p>
    <w:p>
      <w:pPr>
        <w:pStyle w:val="70"/>
        <w:keepNext/>
        <w:keepLines/>
        <w:pageBreakBefore w:val="0"/>
        <w:widowControl/>
        <w:kinsoku/>
        <w:wordWrap/>
        <w:overflowPunct/>
        <w:topLinePunct w:val="0"/>
        <w:autoSpaceDE/>
        <w:autoSpaceDN/>
        <w:bidi w:val="0"/>
        <w:adjustRightInd/>
        <w:snapToGrid/>
        <w:spacing w:line="260" w:lineRule="auto"/>
        <w:ind w:left="1270" w:leftChars="200" w:right="420" w:rightChars="200" w:hanging="850"/>
        <w:textAlignment w:val="auto"/>
        <w:rPr>
          <w:sz w:val="16"/>
          <w:szCs w:val="18"/>
        </w:rPr>
      </w:pPr>
      <w:r>
        <w:rPr>
          <w:sz w:val="16"/>
          <w:szCs w:val="18"/>
        </w:rPr>
        <w:t>NOTE 1:</w:t>
      </w:r>
      <w:r>
        <w:rPr>
          <w:sz w:val="16"/>
          <w:szCs w:val="18"/>
        </w:rPr>
        <w:tab/>
      </w:r>
      <w:r>
        <w:rPr>
          <w:sz w:val="16"/>
          <w:szCs w:val="18"/>
        </w:rPr>
        <w:t>For a UE indicating support for UE capability [powerBoostRel18] or [powerBoostRel18TS] and if the IE [powerBoostPi2BPSKRel18] is set to 1, the reference power is increased by ΔPPowerBoost</w:t>
      </w:r>
    </w:p>
    <w:p>
      <w:pPr>
        <w:pStyle w:val="70"/>
        <w:keepNext/>
        <w:keepLines/>
        <w:pageBreakBefore w:val="0"/>
        <w:widowControl/>
        <w:kinsoku/>
        <w:wordWrap/>
        <w:overflowPunct/>
        <w:topLinePunct w:val="0"/>
        <w:autoSpaceDE/>
        <w:autoSpaceDN/>
        <w:bidi w:val="0"/>
        <w:adjustRightInd/>
        <w:snapToGrid/>
        <w:spacing w:line="260" w:lineRule="auto"/>
        <w:ind w:left="1270" w:leftChars="200" w:right="420" w:rightChars="200" w:hanging="850"/>
        <w:textAlignment w:val="auto"/>
        <w:rPr>
          <w:rFonts w:hint="default"/>
          <w:sz w:val="16"/>
          <w:szCs w:val="18"/>
          <w:lang w:val="en-US" w:eastAsia="zh-CN"/>
        </w:rPr>
      </w:pPr>
      <w:r>
        <w:rPr>
          <w:sz w:val="16"/>
          <w:szCs w:val="18"/>
        </w:rPr>
        <w:t>NOTE 2:</w:t>
      </w:r>
      <w:r>
        <w:rPr>
          <w:sz w:val="16"/>
          <w:szCs w:val="18"/>
        </w:rPr>
        <w:tab/>
      </w:r>
      <w:r>
        <w:rPr>
          <w:sz w:val="16"/>
          <w:szCs w:val="18"/>
        </w:rPr>
        <w:t>For a UE indicating support for UE capability [powerBoostRel18] or [powerBoostRel18TS] and if the IE [powerBoostQPSKRel18] is set to 1, the reference power is increased by ΔPPowerBoost</w:t>
      </w:r>
    </w:p>
    <w:p>
      <w:pPr>
        <w:rPr>
          <w:rFonts w:hint="eastAsia"/>
          <w:sz w:val="20"/>
          <w:szCs w:val="20"/>
          <w:lang w:val="en-US" w:eastAsia="zh-CN"/>
        </w:rPr>
      </w:pPr>
      <w:r>
        <w:rPr>
          <w:rFonts w:hint="eastAsia"/>
          <w:sz w:val="20"/>
          <w:szCs w:val="20"/>
          <w:lang w:val="en-US" w:eastAsia="zh-CN"/>
        </w:rPr>
        <w:t xml:space="preserve">For UE capability </w:t>
      </w:r>
      <w:r>
        <w:rPr>
          <w:rFonts w:hint="eastAsia"/>
          <w:i/>
          <w:iCs/>
          <w:sz w:val="20"/>
          <w:szCs w:val="20"/>
          <w:lang w:val="en-US" w:eastAsia="zh-CN"/>
        </w:rPr>
        <w:t>powerBoosting-pi2BPSK</w:t>
      </w:r>
      <w:r>
        <w:rPr>
          <w:rFonts w:hint="eastAsia"/>
          <w:sz w:val="20"/>
          <w:szCs w:val="20"/>
          <w:lang w:val="en-US" w:eastAsia="zh-CN"/>
        </w:rPr>
        <w:t xml:space="preserve"> in </w:t>
      </w:r>
      <w:r>
        <w:rPr>
          <w:rFonts w:eastAsia="Yu Mincho"/>
          <w:color w:val="000000" w:themeColor="text1"/>
          <w:sz w:val="20"/>
          <w:szCs w:val="20"/>
          <w14:textFill>
            <w14:solidFill>
              <w14:schemeClr w14:val="tx1"/>
            </w14:solidFill>
          </w14:textFill>
        </w:rPr>
        <w:t>Table 6.2.2-1</w:t>
      </w:r>
      <w:r>
        <w:rPr>
          <w:rFonts w:hint="eastAsia"/>
          <w:sz w:val="20"/>
          <w:szCs w:val="20"/>
          <w:lang w:val="en-US" w:eastAsia="zh-CN"/>
        </w:rPr>
        <w:t xml:space="preserve"> note 1, which is introduced in Rel-16, it is a per band capability. Hence, </w:t>
      </w:r>
      <w:r>
        <w:rPr>
          <w:rFonts w:hint="eastAsia"/>
          <w:i/>
          <w:iCs/>
          <w:sz w:val="20"/>
          <w:szCs w:val="20"/>
          <w:lang w:val="en-US" w:eastAsia="zh-CN"/>
        </w:rPr>
        <w:t xml:space="preserve">powerBoosting-pi2BPSK </w:t>
      </w:r>
      <w:r>
        <w:rPr>
          <w:rFonts w:hint="eastAsia"/>
          <w:sz w:val="20"/>
          <w:szCs w:val="20"/>
          <w:lang w:val="en-US" w:eastAsia="zh-CN"/>
        </w:rPr>
        <w:t xml:space="preserve">can not be supported in Intra-band contiguous UL CA. </w:t>
      </w:r>
    </w:p>
    <w:p>
      <w:pPr>
        <w:rPr>
          <w:rFonts w:hint="eastAsia"/>
          <w:b w:val="0"/>
          <w:bCs w:val="0"/>
          <w:i w:val="0"/>
          <w:iCs/>
          <w:sz w:val="20"/>
          <w:szCs w:val="20"/>
          <w:lang w:val="en-US" w:eastAsia="zh-CN"/>
        </w:rPr>
      </w:pPr>
      <w:r>
        <w:rPr>
          <w:rFonts w:hint="eastAsia"/>
          <w:sz w:val="20"/>
          <w:szCs w:val="20"/>
          <w:lang w:val="en-US" w:eastAsia="zh-CN"/>
        </w:rPr>
        <w:t xml:space="preserve">For UE capabilities </w:t>
      </w:r>
      <w:r>
        <w:rPr>
          <w:rFonts w:hint="eastAsia"/>
          <w:b w:val="0"/>
          <w:bCs w:val="0"/>
          <w:sz w:val="20"/>
          <w:szCs w:val="20"/>
          <w:lang w:val="en-US" w:eastAsia="zh-CN"/>
        </w:rPr>
        <w:t>[</w:t>
      </w:r>
      <w:r>
        <w:rPr>
          <w:b w:val="0"/>
          <w:bCs w:val="0"/>
          <w:i/>
          <w:sz w:val="20"/>
          <w:szCs w:val="20"/>
        </w:rPr>
        <w:t>powerBoostRel18</w:t>
      </w:r>
      <w:r>
        <w:rPr>
          <w:rFonts w:hint="eastAsia"/>
          <w:b w:val="0"/>
          <w:bCs w:val="0"/>
          <w:i w:val="0"/>
          <w:iCs/>
          <w:sz w:val="20"/>
          <w:szCs w:val="20"/>
          <w:lang w:val="en-US" w:eastAsia="zh-CN"/>
        </w:rPr>
        <w:t>]</w:t>
      </w:r>
      <w:r>
        <w:rPr>
          <w:rFonts w:hint="eastAsia"/>
          <w:b w:val="0"/>
          <w:bCs w:val="0"/>
          <w:sz w:val="20"/>
          <w:szCs w:val="20"/>
          <w:lang w:val="en-US" w:eastAsia="zh-CN"/>
        </w:rPr>
        <w:t xml:space="preserve"> and [</w:t>
      </w:r>
      <w:r>
        <w:rPr>
          <w:b w:val="0"/>
          <w:bCs w:val="0"/>
          <w:i/>
          <w:sz w:val="20"/>
          <w:szCs w:val="20"/>
        </w:rPr>
        <w:t>powerBoost</w:t>
      </w:r>
      <w:r>
        <w:rPr>
          <w:b w:val="0"/>
          <w:bCs w:val="0"/>
          <w:i/>
          <w:sz w:val="20"/>
          <w:szCs w:val="20"/>
          <w:lang w:val="en-US"/>
        </w:rPr>
        <w:t>TS</w:t>
      </w:r>
      <w:r>
        <w:rPr>
          <w:b w:val="0"/>
          <w:bCs w:val="0"/>
          <w:i/>
          <w:sz w:val="20"/>
          <w:szCs w:val="20"/>
        </w:rPr>
        <w:t>Rel18</w:t>
      </w:r>
      <w:r>
        <w:rPr>
          <w:rFonts w:hint="eastAsia"/>
          <w:b w:val="0"/>
          <w:bCs w:val="0"/>
          <w:i w:val="0"/>
          <w:iCs/>
          <w:sz w:val="20"/>
          <w:szCs w:val="20"/>
          <w:lang w:val="en-US" w:eastAsia="zh-CN"/>
        </w:rPr>
        <w:t>]</w:t>
      </w:r>
      <w:r>
        <w:rPr>
          <w:rFonts w:hint="eastAsia"/>
          <w:sz w:val="20"/>
          <w:szCs w:val="20"/>
          <w:lang w:val="en-US" w:eastAsia="zh-CN"/>
        </w:rPr>
        <w:t>, according to [2],</w:t>
      </w:r>
      <w:r>
        <w:rPr>
          <w:rFonts w:hint="eastAsia"/>
          <w:b w:val="0"/>
          <w:bCs w:val="0"/>
          <w:sz w:val="20"/>
          <w:szCs w:val="20"/>
          <w:lang w:val="en-US" w:eastAsia="zh-CN"/>
        </w:rPr>
        <w:t xml:space="preserve"> it stated that [</w:t>
      </w:r>
      <w:r>
        <w:rPr>
          <w:b w:val="0"/>
          <w:bCs w:val="0"/>
          <w:i/>
          <w:sz w:val="20"/>
          <w:szCs w:val="20"/>
        </w:rPr>
        <w:t>powerBoostRel18</w:t>
      </w:r>
      <w:r>
        <w:rPr>
          <w:rFonts w:hint="eastAsia"/>
          <w:b w:val="0"/>
          <w:bCs w:val="0"/>
          <w:i w:val="0"/>
          <w:iCs/>
          <w:sz w:val="20"/>
          <w:szCs w:val="20"/>
          <w:lang w:val="en-US" w:eastAsia="zh-CN"/>
        </w:rPr>
        <w:t>]</w:t>
      </w:r>
      <w:r>
        <w:rPr>
          <w:rFonts w:hint="eastAsia"/>
          <w:b w:val="0"/>
          <w:bCs w:val="0"/>
          <w:sz w:val="20"/>
          <w:szCs w:val="20"/>
          <w:lang w:val="en-US" w:eastAsia="zh-CN"/>
        </w:rPr>
        <w:t xml:space="preserve"> and [</w:t>
      </w:r>
      <w:r>
        <w:rPr>
          <w:b w:val="0"/>
          <w:bCs w:val="0"/>
          <w:i/>
          <w:sz w:val="20"/>
          <w:szCs w:val="20"/>
        </w:rPr>
        <w:t>powerBoost</w:t>
      </w:r>
      <w:r>
        <w:rPr>
          <w:b w:val="0"/>
          <w:bCs w:val="0"/>
          <w:i/>
          <w:sz w:val="20"/>
          <w:szCs w:val="20"/>
          <w:lang w:val="en-US"/>
        </w:rPr>
        <w:t>TS</w:t>
      </w:r>
      <w:r>
        <w:rPr>
          <w:b w:val="0"/>
          <w:bCs w:val="0"/>
          <w:i/>
          <w:sz w:val="20"/>
          <w:szCs w:val="20"/>
        </w:rPr>
        <w:t>Rel18</w:t>
      </w:r>
      <w:r>
        <w:rPr>
          <w:rFonts w:hint="eastAsia"/>
          <w:b w:val="0"/>
          <w:bCs w:val="0"/>
          <w:i w:val="0"/>
          <w:iCs/>
          <w:sz w:val="20"/>
          <w:szCs w:val="20"/>
          <w:lang w:val="en-US" w:eastAsia="zh-CN"/>
        </w:rPr>
        <w:t>]</w:t>
      </w:r>
      <w:r>
        <w:rPr>
          <w:rFonts w:hint="eastAsia"/>
          <w:b w:val="0"/>
          <w:bCs w:val="0"/>
          <w:sz w:val="20"/>
          <w:szCs w:val="20"/>
          <w:lang w:val="en-US" w:eastAsia="zh-CN"/>
        </w:rPr>
        <w:t xml:space="preserve"> are per FS capabilit</w:t>
      </w:r>
      <w:r>
        <w:rPr>
          <w:rFonts w:hint="eastAsia"/>
          <w:sz w:val="20"/>
          <w:szCs w:val="20"/>
          <w:lang w:val="en-US" w:eastAsia="zh-CN"/>
        </w:rPr>
        <w:t xml:space="preserve">ies and only applicable to FR1. When only 1CC is activated, if the featureset of the band combination activated CC belonging to supports </w:t>
      </w:r>
      <w:r>
        <w:rPr>
          <w:rFonts w:hint="eastAsia"/>
          <w:b w:val="0"/>
          <w:bCs w:val="0"/>
          <w:sz w:val="20"/>
          <w:szCs w:val="20"/>
          <w:lang w:val="en-US" w:eastAsia="zh-CN"/>
        </w:rPr>
        <w:t>[</w:t>
      </w:r>
      <w:r>
        <w:rPr>
          <w:b w:val="0"/>
          <w:bCs w:val="0"/>
          <w:i/>
          <w:sz w:val="20"/>
          <w:szCs w:val="20"/>
        </w:rPr>
        <w:t>powerBoostRel18</w:t>
      </w:r>
      <w:r>
        <w:rPr>
          <w:rFonts w:hint="eastAsia"/>
          <w:b w:val="0"/>
          <w:bCs w:val="0"/>
          <w:i w:val="0"/>
          <w:iCs/>
          <w:sz w:val="20"/>
          <w:szCs w:val="20"/>
          <w:lang w:val="en-US" w:eastAsia="zh-CN"/>
        </w:rPr>
        <w:t>]</w:t>
      </w:r>
      <w:r>
        <w:rPr>
          <w:rFonts w:hint="eastAsia"/>
          <w:b w:val="0"/>
          <w:bCs w:val="0"/>
          <w:sz w:val="20"/>
          <w:szCs w:val="20"/>
          <w:lang w:val="en-US" w:eastAsia="zh-CN"/>
        </w:rPr>
        <w:t xml:space="preserve"> or [</w:t>
      </w:r>
      <w:r>
        <w:rPr>
          <w:b w:val="0"/>
          <w:bCs w:val="0"/>
          <w:i/>
          <w:sz w:val="20"/>
          <w:szCs w:val="20"/>
        </w:rPr>
        <w:t>powerBoost</w:t>
      </w:r>
      <w:r>
        <w:rPr>
          <w:b w:val="0"/>
          <w:bCs w:val="0"/>
          <w:i/>
          <w:sz w:val="20"/>
          <w:szCs w:val="20"/>
          <w:lang w:val="en-US"/>
        </w:rPr>
        <w:t>TS</w:t>
      </w:r>
      <w:r>
        <w:rPr>
          <w:b w:val="0"/>
          <w:bCs w:val="0"/>
          <w:i/>
          <w:sz w:val="20"/>
          <w:szCs w:val="20"/>
        </w:rPr>
        <w:t>Rel18</w:t>
      </w:r>
      <w:r>
        <w:rPr>
          <w:rFonts w:hint="eastAsia"/>
          <w:b w:val="0"/>
          <w:bCs w:val="0"/>
          <w:i w:val="0"/>
          <w:iCs/>
          <w:sz w:val="20"/>
          <w:szCs w:val="20"/>
          <w:lang w:val="en-US" w:eastAsia="zh-CN"/>
        </w:rPr>
        <w:t>], these capabilities should be supported by the activated CC. Hence, we make the following proposal based on Proposal 3.</w:t>
      </w:r>
    </w:p>
    <w:p>
      <w:pPr>
        <w:rPr>
          <w:rFonts w:hint="eastAsia"/>
          <w:b/>
          <w:bCs/>
          <w:i w:val="0"/>
          <w:iCs w:val="0"/>
          <w:sz w:val="20"/>
          <w:szCs w:val="20"/>
          <w:lang w:val="en-US" w:eastAsia="zh-CN"/>
        </w:rPr>
      </w:pPr>
      <w:r>
        <w:rPr>
          <w:rFonts w:hint="eastAsia"/>
          <w:b/>
          <w:bCs/>
          <w:i w:val="0"/>
          <w:iCs w:val="0"/>
          <w:sz w:val="20"/>
          <w:szCs w:val="20"/>
          <w:lang w:val="en-US" w:eastAsia="zh-CN"/>
        </w:rPr>
        <w:t>Proposal 1: For PC3 and PC2 contiguous UL CA use the corresponding single CC MPR when only 1 CC is activated and refer to the following MPR tables and corresponding configured Tx power requirements.</w:t>
      </w:r>
    </w:p>
    <w:p>
      <w:pPr>
        <w:numPr>
          <w:ilvl w:val="0"/>
          <w:numId w:val="12"/>
        </w:numPr>
        <w:ind w:left="420" w:leftChars="0" w:hanging="420" w:firstLineChars="0"/>
        <w:rPr>
          <w:rFonts w:hint="eastAsia"/>
          <w:b/>
          <w:bCs/>
          <w:i w:val="0"/>
          <w:iCs w:val="0"/>
          <w:sz w:val="20"/>
          <w:szCs w:val="20"/>
          <w:lang w:val="en-US" w:eastAsia="zh-CN"/>
        </w:rPr>
      </w:pPr>
      <w:r>
        <w:rPr>
          <w:rFonts w:hint="eastAsia"/>
          <w:b/>
          <w:bCs/>
          <w:i w:val="0"/>
          <w:iCs w:val="0"/>
          <w:sz w:val="20"/>
          <w:szCs w:val="20"/>
          <w:lang w:val="en-US" w:eastAsia="zh-CN"/>
        </w:rPr>
        <w:t xml:space="preserve">MPR defined in Table 6.2.2-1 applies for UE power class 3 CA bandwidth classes B and C, along with configured Tx power requirements for 6.2.4, and UE capability </w:t>
      </w:r>
      <w:r>
        <w:rPr>
          <w:rFonts w:hint="eastAsia"/>
          <w:b/>
          <w:bCs/>
          <w:i/>
          <w:iCs/>
          <w:sz w:val="20"/>
          <w:szCs w:val="20"/>
          <w:lang w:val="en-US" w:eastAsia="zh-CN"/>
        </w:rPr>
        <w:t>powerBoosting-pi2BPSK</w:t>
      </w:r>
      <w:r>
        <w:rPr>
          <w:rFonts w:hint="eastAsia"/>
          <w:b/>
          <w:bCs/>
          <w:i w:val="0"/>
          <w:iCs w:val="0"/>
          <w:sz w:val="20"/>
          <w:szCs w:val="20"/>
          <w:lang w:val="en-US" w:eastAsia="zh-CN"/>
        </w:rPr>
        <w:t xml:space="preserve"> is not supported</w:t>
      </w:r>
    </w:p>
    <w:p>
      <w:pPr>
        <w:numPr>
          <w:ilvl w:val="0"/>
          <w:numId w:val="12"/>
        </w:numPr>
        <w:ind w:left="420" w:leftChars="0" w:hanging="420" w:firstLineChars="0"/>
        <w:rPr>
          <w:rFonts w:hint="eastAsia"/>
          <w:b/>
          <w:bCs/>
          <w:i w:val="0"/>
          <w:iCs w:val="0"/>
          <w:sz w:val="20"/>
          <w:szCs w:val="20"/>
          <w:lang w:val="en-US" w:eastAsia="zh-CN"/>
        </w:rPr>
      </w:pPr>
      <w:r>
        <w:rPr>
          <w:rFonts w:hint="eastAsia"/>
          <w:b/>
          <w:bCs/>
          <w:i w:val="0"/>
          <w:iCs w:val="0"/>
          <w:sz w:val="20"/>
          <w:szCs w:val="20"/>
          <w:lang w:val="en-US" w:eastAsia="zh-CN"/>
        </w:rPr>
        <w:t xml:space="preserve">MPR defined in Table 6.2D.2-1 applies for power class 2 CA bandwidth classes B and C when TxD capability is indicated, along with configured Tx power requirements for 6.2D.4  </w:t>
      </w:r>
    </w:p>
    <w:p>
      <w:pPr>
        <w:numPr>
          <w:ilvl w:val="0"/>
          <w:numId w:val="12"/>
        </w:numPr>
        <w:ind w:left="420" w:leftChars="0" w:hanging="420" w:firstLineChars="0"/>
        <w:rPr>
          <w:rFonts w:hint="default"/>
          <w:b w:val="0"/>
          <w:bCs w:val="0"/>
          <w:i w:val="0"/>
          <w:iCs/>
          <w:sz w:val="20"/>
          <w:szCs w:val="20"/>
          <w:lang w:val="en-US" w:eastAsia="zh-CN"/>
        </w:rPr>
      </w:pPr>
      <w:r>
        <w:rPr>
          <w:rFonts w:hint="eastAsia"/>
          <w:b/>
          <w:bCs/>
          <w:i w:val="0"/>
          <w:iCs w:val="0"/>
          <w:sz w:val="20"/>
          <w:szCs w:val="20"/>
          <w:lang w:val="en-US" w:eastAsia="zh-CN"/>
        </w:rPr>
        <w:t xml:space="preserve">MPR defined in Table 6.2.2-2 applies for power class 2 CA bandwidth classes B and C when TxD capability is absent, along with configured Tx power requirements for 6.2.4 </w:t>
      </w:r>
    </w:p>
    <w:p>
      <w:pPr>
        <w:rPr>
          <w:rFonts w:hint="default"/>
          <w:sz w:val="20"/>
          <w:szCs w:val="20"/>
          <w:lang w:val="en-US" w:eastAsia="zh-CN"/>
        </w:rPr>
      </w:pPr>
    </w:p>
    <w:tbl>
      <w:tblPr>
        <w:tblStyle w:val="23"/>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58"/>
              <w:rPr>
                <w:b/>
                <w:i/>
                <w:sz w:val="16"/>
                <w:szCs w:val="16"/>
              </w:rPr>
            </w:pPr>
            <w:r>
              <w:rPr>
                <w:b/>
                <w:i/>
                <w:sz w:val="16"/>
                <w:szCs w:val="16"/>
              </w:rPr>
              <w:t>powerBoosting-pi2BPSK</w:t>
            </w:r>
          </w:p>
          <w:p>
            <w:pPr>
              <w:pStyle w:val="58"/>
              <w:rPr>
                <w:sz w:val="16"/>
                <w:szCs w:val="16"/>
              </w:rPr>
            </w:pPr>
            <w:r>
              <w:rPr>
                <w:sz w:val="16"/>
                <w:szCs w:val="16"/>
              </w:rPr>
              <w:t>Indicates whether UE supports power boosting for pi/2 BPSK, when applicable as defined in 6.2 of TS 38.101-1 [2] v16.9.0. It is mandatory with capability signalling. This capability is not applicable to IAB-MT.</w:t>
            </w:r>
          </w:p>
        </w:tc>
        <w:tc>
          <w:tcPr>
            <w:tcW w:w="709" w:type="dxa"/>
          </w:tcPr>
          <w:p>
            <w:pPr>
              <w:pStyle w:val="58"/>
              <w:jc w:val="center"/>
              <w:rPr>
                <w:sz w:val="16"/>
                <w:szCs w:val="16"/>
              </w:rPr>
            </w:pPr>
            <w:r>
              <w:rPr>
                <w:sz w:val="16"/>
                <w:szCs w:val="16"/>
              </w:rPr>
              <w:t>Band</w:t>
            </w:r>
          </w:p>
        </w:tc>
        <w:tc>
          <w:tcPr>
            <w:tcW w:w="567" w:type="dxa"/>
          </w:tcPr>
          <w:p>
            <w:pPr>
              <w:pStyle w:val="58"/>
              <w:jc w:val="center"/>
              <w:rPr>
                <w:sz w:val="16"/>
                <w:szCs w:val="16"/>
              </w:rPr>
            </w:pPr>
            <w:r>
              <w:rPr>
                <w:sz w:val="16"/>
                <w:szCs w:val="16"/>
              </w:rPr>
              <w:t>CY</w:t>
            </w:r>
          </w:p>
        </w:tc>
        <w:tc>
          <w:tcPr>
            <w:tcW w:w="709" w:type="dxa"/>
          </w:tcPr>
          <w:p>
            <w:pPr>
              <w:pStyle w:val="58"/>
              <w:jc w:val="center"/>
              <w:rPr>
                <w:sz w:val="16"/>
                <w:szCs w:val="16"/>
              </w:rPr>
            </w:pPr>
            <w:r>
              <w:rPr>
                <w:sz w:val="16"/>
                <w:szCs w:val="16"/>
              </w:rPr>
              <w:t>TDD only</w:t>
            </w:r>
          </w:p>
        </w:tc>
        <w:tc>
          <w:tcPr>
            <w:tcW w:w="728" w:type="dxa"/>
          </w:tcPr>
          <w:p>
            <w:pPr>
              <w:pStyle w:val="58"/>
              <w:jc w:val="center"/>
              <w:rPr>
                <w:sz w:val="16"/>
                <w:szCs w:val="16"/>
              </w:rPr>
            </w:pPr>
            <w:r>
              <w:rPr>
                <w:sz w:val="16"/>
                <w:szCs w:val="16"/>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58"/>
              <w:rPr>
                <w:b/>
                <w:i/>
                <w:sz w:val="16"/>
                <w:szCs w:val="16"/>
              </w:rPr>
            </w:pPr>
            <w:r>
              <w:rPr>
                <w:b/>
                <w:i/>
                <w:sz w:val="16"/>
                <w:szCs w:val="16"/>
              </w:rPr>
              <w:t>powerBoosting-pi2BPSK-QPSK-r18</w:t>
            </w:r>
          </w:p>
          <w:p>
            <w:pPr>
              <w:pStyle w:val="58"/>
              <w:rPr>
                <w:bCs/>
                <w:iCs/>
                <w:sz w:val="16"/>
                <w:szCs w:val="16"/>
              </w:rPr>
            </w:pPr>
            <w:r>
              <w:rPr>
                <w:bCs/>
                <w:iCs/>
                <w:sz w:val="16"/>
                <w:szCs w:val="16"/>
              </w:rPr>
              <w:t xml:space="preserve">Indicates whether the UE supports power boosting for DFT-s-OFDM pi/2 BPSK and QPSK without modified spectrum flatness requirement for PC3 and PC2 MPR reduction, when applicable as defined in 6.2 of TS 38.101-1 [2].The power boosting is only enabled when signalled via </w:t>
            </w:r>
            <w:r>
              <w:rPr>
                <w:bCs/>
                <w:i/>
                <w:sz w:val="16"/>
                <w:szCs w:val="16"/>
              </w:rPr>
              <w:t>powerBoostPi2BPSK-r18</w:t>
            </w:r>
            <w:r>
              <w:rPr>
                <w:bCs/>
                <w:iCs/>
                <w:sz w:val="16"/>
                <w:szCs w:val="16"/>
              </w:rPr>
              <w:t xml:space="preserve"> for BPSK and </w:t>
            </w:r>
            <w:r>
              <w:rPr>
                <w:bCs/>
                <w:i/>
                <w:sz w:val="16"/>
                <w:szCs w:val="16"/>
              </w:rPr>
              <w:t>powerBoostQPSK-r18</w:t>
            </w:r>
            <w:r>
              <w:rPr>
                <w:bCs/>
                <w:iCs/>
                <w:sz w:val="16"/>
                <w:szCs w:val="16"/>
              </w:rPr>
              <w:t xml:space="preserve"> for QPSK.</w:t>
            </w:r>
          </w:p>
          <w:p>
            <w:pPr>
              <w:pStyle w:val="58"/>
              <w:rPr>
                <w:i/>
                <w:sz w:val="16"/>
                <w:szCs w:val="16"/>
              </w:rPr>
            </w:pPr>
            <w:r>
              <w:rPr>
                <w:bCs/>
                <w:iCs/>
                <w:sz w:val="16"/>
                <w:szCs w:val="16"/>
              </w:rPr>
              <w:t xml:space="preserve">A UE supporting this feature shall also indicate the support of </w:t>
            </w:r>
            <w:r>
              <w:rPr>
                <w:i/>
                <w:sz w:val="16"/>
                <w:szCs w:val="16"/>
              </w:rPr>
              <w:t>pusch-HalfPi-BPSK</w:t>
            </w:r>
            <w:r>
              <w:rPr>
                <w:iCs/>
                <w:sz w:val="16"/>
                <w:szCs w:val="16"/>
              </w:rPr>
              <w:t xml:space="preserve"> and </w:t>
            </w:r>
            <w:r>
              <w:rPr>
                <w:i/>
                <w:sz w:val="16"/>
                <w:szCs w:val="16"/>
              </w:rPr>
              <w:t>pucch-F3-4-HalfPi-BPSK.</w:t>
            </w:r>
          </w:p>
          <w:p>
            <w:pPr>
              <w:pStyle w:val="58"/>
              <w:rPr>
                <w:bCs/>
                <w:iCs/>
                <w:sz w:val="16"/>
                <w:szCs w:val="16"/>
              </w:rPr>
            </w:pPr>
            <w:r>
              <w:rPr>
                <w:bCs/>
                <w:iCs/>
                <w:sz w:val="16"/>
                <w:szCs w:val="16"/>
              </w:rPr>
              <w:t>This capability can be supported in any or all scenarios below:</w:t>
            </w:r>
          </w:p>
          <w:p>
            <w:pPr>
              <w:pStyle w:val="47"/>
              <w:spacing w:after="0"/>
              <w:rPr>
                <w:rFonts w:ascii="Arial" w:hAnsi="Arial" w:cs="Arial"/>
                <w:sz w:val="16"/>
                <w:szCs w:val="16"/>
              </w:rPr>
            </w:pPr>
            <w:r>
              <w:rPr>
                <w:rFonts w:ascii="Arial" w:hAnsi="Arial" w:cs="Arial"/>
                <w:sz w:val="16"/>
                <w:szCs w:val="16"/>
              </w:rPr>
              <w:t>-</w:t>
            </w:r>
            <w:r>
              <w:rPr>
                <w:rFonts w:ascii="Arial" w:hAnsi="Arial" w:cs="Arial"/>
                <w:sz w:val="16"/>
                <w:szCs w:val="16"/>
              </w:rPr>
              <w:tab/>
            </w:r>
            <w:r>
              <w:rPr>
                <w:rFonts w:ascii="Arial" w:hAnsi="Arial" w:cs="Arial"/>
                <w:sz w:val="16"/>
                <w:szCs w:val="16"/>
              </w:rPr>
              <w:t>Case 1: FR1 single band with single uplink CC configured in the band where power boosting capability is indicated in this band.</w:t>
            </w:r>
          </w:p>
          <w:p>
            <w:pPr>
              <w:pStyle w:val="47"/>
              <w:spacing w:after="0"/>
              <w:rPr>
                <w:rFonts w:ascii="Arial" w:hAnsi="Arial" w:cs="Arial"/>
                <w:sz w:val="16"/>
                <w:szCs w:val="16"/>
              </w:rPr>
            </w:pPr>
            <w:r>
              <w:rPr>
                <w:rFonts w:ascii="Arial" w:hAnsi="Arial" w:cs="Arial"/>
                <w:sz w:val="16"/>
                <w:szCs w:val="16"/>
              </w:rPr>
              <w:t>-</w:t>
            </w:r>
            <w:r>
              <w:rPr>
                <w:rFonts w:ascii="Arial" w:hAnsi="Arial" w:cs="Arial"/>
                <w:sz w:val="16"/>
                <w:szCs w:val="16"/>
              </w:rPr>
              <w:tab/>
            </w:r>
            <w:r>
              <w:rPr>
                <w:rFonts w:ascii="Arial" w:hAnsi="Arial" w:cs="Arial"/>
                <w:sz w:val="16"/>
                <w:szCs w:val="16"/>
              </w:rPr>
              <w:t>Case 2: FR1 DL CA with a single uplink CC configured in a band where power boosting capability is indicated. The power boosting feature can be configured in this FR1 NR band.</w:t>
            </w:r>
          </w:p>
          <w:p>
            <w:pPr>
              <w:pStyle w:val="47"/>
              <w:spacing w:after="0"/>
              <w:rPr>
                <w:rFonts w:ascii="Arial" w:hAnsi="Arial" w:cs="Arial"/>
                <w:sz w:val="16"/>
                <w:szCs w:val="16"/>
              </w:rPr>
            </w:pPr>
            <w:r>
              <w:rPr>
                <w:rFonts w:ascii="Arial" w:hAnsi="Arial" w:cs="Arial"/>
                <w:sz w:val="16"/>
                <w:szCs w:val="16"/>
              </w:rPr>
              <w:t>-</w:t>
            </w:r>
            <w:r>
              <w:rPr>
                <w:rFonts w:ascii="Arial" w:hAnsi="Arial" w:cs="Arial"/>
                <w:sz w:val="16"/>
                <w:szCs w:val="16"/>
              </w:rPr>
              <w:tab/>
            </w:r>
            <w:r>
              <w:rPr>
                <w:rFonts w:ascii="Arial" w:hAnsi="Arial" w:cs="Arial"/>
                <w:sz w:val="16"/>
                <w:szCs w:val="16"/>
              </w:rPr>
              <w:t>Case 3: FR1 inter-band UL CA/DC, where a single CC is configured in the uplink bands where power boosting capability is indicated. The power boosting feature can be configured only in one of the bands where capability is indicated.</w:t>
            </w:r>
          </w:p>
          <w:p>
            <w:pPr>
              <w:pStyle w:val="47"/>
              <w:spacing w:after="0"/>
              <w:rPr>
                <w:rFonts w:cs="Arial"/>
                <w:b/>
                <w:bCs/>
                <w:i/>
                <w:iCs/>
                <w:sz w:val="16"/>
                <w:szCs w:val="16"/>
              </w:rPr>
            </w:pPr>
            <w:r>
              <w:rPr>
                <w:rFonts w:ascii="Arial" w:hAnsi="Arial"/>
                <w:kern w:val="2"/>
                <w:sz w:val="16"/>
                <w:szCs w:val="16"/>
              </w:rPr>
              <w:t>-</w:t>
            </w:r>
            <w:r>
              <w:rPr>
                <w:rFonts w:ascii="Arial" w:hAnsi="Arial"/>
                <w:kern w:val="2"/>
                <w:sz w:val="16"/>
                <w:szCs w:val="16"/>
              </w:rPr>
              <w:tab/>
            </w:r>
            <w:r>
              <w:rPr>
                <w:rFonts w:ascii="Arial" w:hAnsi="Arial"/>
                <w:kern w:val="2"/>
                <w:sz w:val="16"/>
                <w:szCs w:val="16"/>
              </w:rPr>
              <w:t>Case 4: FR1+FR2 UL CA, FR1+FR2 DC, where a single CC is configured in the uplink bands where power boosting capability is indicated. The power boosting feature can be configured in the FR1 NR band.</w:t>
            </w:r>
          </w:p>
        </w:tc>
        <w:tc>
          <w:tcPr>
            <w:tcW w:w="709" w:type="dxa"/>
          </w:tcPr>
          <w:p>
            <w:pPr>
              <w:pStyle w:val="58"/>
              <w:jc w:val="center"/>
              <w:rPr>
                <w:sz w:val="16"/>
                <w:szCs w:val="16"/>
                <w:lang w:eastAsia="zh-CN"/>
              </w:rPr>
            </w:pPr>
            <w:r>
              <w:rPr>
                <w:sz w:val="16"/>
                <w:szCs w:val="16"/>
              </w:rPr>
              <w:t>FS</w:t>
            </w:r>
          </w:p>
        </w:tc>
        <w:tc>
          <w:tcPr>
            <w:tcW w:w="567" w:type="dxa"/>
          </w:tcPr>
          <w:p>
            <w:pPr>
              <w:pStyle w:val="58"/>
              <w:jc w:val="center"/>
              <w:rPr>
                <w:sz w:val="16"/>
                <w:szCs w:val="16"/>
                <w:lang w:eastAsia="zh-CN"/>
              </w:rPr>
            </w:pPr>
            <w:r>
              <w:rPr>
                <w:sz w:val="16"/>
                <w:szCs w:val="16"/>
              </w:rPr>
              <w:t>No</w:t>
            </w:r>
          </w:p>
        </w:tc>
        <w:tc>
          <w:tcPr>
            <w:tcW w:w="709" w:type="dxa"/>
          </w:tcPr>
          <w:p>
            <w:pPr>
              <w:pStyle w:val="58"/>
              <w:jc w:val="center"/>
              <w:rPr>
                <w:bCs/>
                <w:iCs/>
                <w:sz w:val="16"/>
                <w:szCs w:val="16"/>
              </w:rPr>
            </w:pPr>
            <w:r>
              <w:rPr>
                <w:bCs/>
                <w:iCs/>
                <w:sz w:val="16"/>
                <w:szCs w:val="16"/>
              </w:rPr>
              <w:t>N/A</w:t>
            </w:r>
          </w:p>
        </w:tc>
        <w:tc>
          <w:tcPr>
            <w:tcW w:w="728" w:type="dxa"/>
          </w:tcPr>
          <w:p>
            <w:pPr>
              <w:pStyle w:val="58"/>
              <w:jc w:val="center"/>
              <w:rPr>
                <w:bCs/>
                <w:iCs/>
                <w:sz w:val="16"/>
                <w:szCs w:val="16"/>
              </w:rPr>
            </w:pPr>
            <w:r>
              <w:rPr>
                <w:bCs/>
                <w:iCs/>
                <w:sz w:val="16"/>
                <w:szCs w:val="16"/>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58"/>
              <w:rPr>
                <w:b/>
                <w:i/>
                <w:sz w:val="16"/>
                <w:szCs w:val="16"/>
              </w:rPr>
            </w:pPr>
            <w:r>
              <w:rPr>
                <w:b/>
                <w:i/>
                <w:sz w:val="16"/>
                <w:szCs w:val="16"/>
              </w:rPr>
              <w:t>powerBoosting-pi2BPSK-QPSK-Modified-r18</w:t>
            </w:r>
          </w:p>
          <w:p>
            <w:pPr>
              <w:pStyle w:val="58"/>
              <w:rPr>
                <w:rFonts w:cs="Arial"/>
                <w:sz w:val="16"/>
                <w:szCs w:val="16"/>
                <w:lang w:eastAsia="en-GB"/>
              </w:rPr>
            </w:pPr>
            <w:r>
              <w:rPr>
                <w:bCs/>
                <w:iCs/>
                <w:sz w:val="16"/>
                <w:szCs w:val="16"/>
              </w:rPr>
              <w:t xml:space="preserve">Indicates whether the UE supports </w:t>
            </w:r>
            <w:r>
              <w:rPr>
                <w:rFonts w:cs="Arial"/>
                <w:sz w:val="16"/>
                <w:szCs w:val="16"/>
                <w:lang w:eastAsia="en-GB"/>
              </w:rPr>
              <w:t xml:space="preserve">power boosting for </w:t>
            </w:r>
            <w:r>
              <w:rPr>
                <w:rFonts w:cs="Arial"/>
                <w:sz w:val="16"/>
                <w:szCs w:val="16"/>
                <w:lang w:eastAsia="en-GB" w:bidi="hi-IN"/>
              </w:rPr>
              <w:t>DFT-s-OFDM</w:t>
            </w:r>
            <w:r>
              <w:rPr>
                <w:rFonts w:cs="Arial"/>
                <w:sz w:val="16"/>
                <w:szCs w:val="16"/>
                <w:lang w:eastAsia="en-GB"/>
              </w:rPr>
              <w:t xml:space="preserve"> pi/2 BPSK and QPSK with modified spectrum flatness requirement for PC3 and PC2 MPR reduction, when applicable as defined in 6.2 of TS 38.101-1 [2]. The power boosting is only enabled when signalled via </w:t>
            </w:r>
            <w:r>
              <w:rPr>
                <w:rFonts w:cs="Arial"/>
                <w:i/>
                <w:iCs/>
                <w:sz w:val="16"/>
                <w:szCs w:val="16"/>
                <w:lang w:eastAsia="en-GB"/>
              </w:rPr>
              <w:t>powerBoostPi2BPSK-r18</w:t>
            </w:r>
            <w:r>
              <w:rPr>
                <w:rFonts w:cs="Arial"/>
                <w:sz w:val="16"/>
                <w:szCs w:val="16"/>
                <w:lang w:eastAsia="en-GB"/>
              </w:rPr>
              <w:t xml:space="preserve"> for BPSK and </w:t>
            </w:r>
            <w:r>
              <w:rPr>
                <w:rFonts w:cs="Arial"/>
                <w:i/>
                <w:iCs/>
                <w:sz w:val="16"/>
                <w:szCs w:val="16"/>
                <w:lang w:eastAsia="en-GB"/>
              </w:rPr>
              <w:t>powerBoostQPSK-r18</w:t>
            </w:r>
            <w:r>
              <w:rPr>
                <w:rFonts w:cs="Arial"/>
                <w:sz w:val="16"/>
                <w:szCs w:val="16"/>
                <w:lang w:eastAsia="en-GB"/>
              </w:rPr>
              <w:t xml:space="preserve"> for QPSK.</w:t>
            </w:r>
          </w:p>
          <w:p>
            <w:pPr>
              <w:pStyle w:val="58"/>
              <w:rPr>
                <w:i/>
                <w:sz w:val="16"/>
                <w:szCs w:val="16"/>
              </w:rPr>
            </w:pPr>
            <w:r>
              <w:rPr>
                <w:bCs/>
                <w:iCs/>
                <w:sz w:val="16"/>
                <w:szCs w:val="16"/>
              </w:rPr>
              <w:t xml:space="preserve">A UE supporting this feature shall also indicate the support of </w:t>
            </w:r>
            <w:r>
              <w:rPr>
                <w:i/>
                <w:sz w:val="16"/>
                <w:szCs w:val="16"/>
              </w:rPr>
              <w:t>pusch-HalfPi-BPSK</w:t>
            </w:r>
            <w:r>
              <w:rPr>
                <w:iCs/>
                <w:sz w:val="16"/>
                <w:szCs w:val="16"/>
              </w:rPr>
              <w:t xml:space="preserve"> and </w:t>
            </w:r>
            <w:r>
              <w:rPr>
                <w:i/>
                <w:sz w:val="16"/>
                <w:szCs w:val="16"/>
              </w:rPr>
              <w:t>pucch-F3-4-HalfPi-BPSK.</w:t>
            </w:r>
          </w:p>
          <w:p>
            <w:pPr>
              <w:pStyle w:val="58"/>
              <w:rPr>
                <w:bCs/>
                <w:iCs/>
                <w:sz w:val="16"/>
                <w:szCs w:val="16"/>
              </w:rPr>
            </w:pPr>
            <w:r>
              <w:rPr>
                <w:bCs/>
                <w:iCs/>
                <w:sz w:val="16"/>
                <w:szCs w:val="16"/>
              </w:rPr>
              <w:t>This capability can be supported in any or all scenarios below:</w:t>
            </w:r>
          </w:p>
          <w:p>
            <w:pPr>
              <w:pStyle w:val="47"/>
              <w:spacing w:after="0"/>
              <w:rPr>
                <w:rFonts w:ascii="Arial" w:hAnsi="Arial" w:cs="Arial"/>
                <w:sz w:val="16"/>
                <w:szCs w:val="16"/>
              </w:rPr>
            </w:pPr>
            <w:r>
              <w:rPr>
                <w:rFonts w:ascii="Arial" w:hAnsi="Arial" w:cs="Arial"/>
                <w:sz w:val="16"/>
                <w:szCs w:val="16"/>
              </w:rPr>
              <w:t>-</w:t>
            </w:r>
            <w:r>
              <w:rPr>
                <w:rFonts w:ascii="Arial" w:hAnsi="Arial" w:cs="Arial"/>
                <w:sz w:val="16"/>
                <w:szCs w:val="16"/>
              </w:rPr>
              <w:tab/>
            </w:r>
            <w:r>
              <w:rPr>
                <w:rFonts w:ascii="Arial" w:hAnsi="Arial" w:cs="Arial"/>
                <w:sz w:val="16"/>
                <w:szCs w:val="16"/>
              </w:rPr>
              <w:t>Case 1: FR1 single band with single uplink CC configured in the band where power boosting capability is indicated in this band.</w:t>
            </w:r>
          </w:p>
          <w:p>
            <w:pPr>
              <w:pStyle w:val="47"/>
              <w:spacing w:after="0"/>
              <w:rPr>
                <w:rFonts w:ascii="Arial" w:hAnsi="Arial" w:cs="Arial"/>
                <w:sz w:val="16"/>
                <w:szCs w:val="16"/>
              </w:rPr>
            </w:pPr>
            <w:r>
              <w:rPr>
                <w:rFonts w:ascii="Arial" w:hAnsi="Arial" w:cs="Arial"/>
                <w:sz w:val="16"/>
                <w:szCs w:val="16"/>
              </w:rPr>
              <w:t>-</w:t>
            </w:r>
            <w:r>
              <w:rPr>
                <w:rFonts w:ascii="Arial" w:hAnsi="Arial" w:cs="Arial"/>
                <w:sz w:val="16"/>
                <w:szCs w:val="16"/>
              </w:rPr>
              <w:tab/>
            </w:r>
            <w:r>
              <w:rPr>
                <w:rFonts w:ascii="Arial" w:hAnsi="Arial" w:cs="Arial"/>
                <w:sz w:val="16"/>
                <w:szCs w:val="16"/>
              </w:rPr>
              <w:t>Case 2: FR1 DL CA with a single uplink CC configured in a band where power boosting capability is indicated. The power boosting feature can be configured in this FR1 NR band.</w:t>
            </w:r>
          </w:p>
          <w:p>
            <w:pPr>
              <w:pStyle w:val="47"/>
              <w:spacing w:after="0"/>
              <w:rPr>
                <w:rFonts w:ascii="Arial" w:hAnsi="Arial" w:cs="Arial"/>
                <w:sz w:val="16"/>
                <w:szCs w:val="16"/>
              </w:rPr>
            </w:pPr>
            <w:r>
              <w:rPr>
                <w:rFonts w:ascii="Arial" w:hAnsi="Arial" w:cs="Arial"/>
                <w:sz w:val="16"/>
                <w:szCs w:val="16"/>
              </w:rPr>
              <w:t>-</w:t>
            </w:r>
            <w:r>
              <w:rPr>
                <w:rFonts w:ascii="Arial" w:hAnsi="Arial" w:cs="Arial"/>
                <w:sz w:val="16"/>
                <w:szCs w:val="16"/>
              </w:rPr>
              <w:tab/>
            </w:r>
            <w:r>
              <w:rPr>
                <w:rFonts w:ascii="Arial" w:hAnsi="Arial" w:cs="Arial"/>
                <w:sz w:val="16"/>
                <w:szCs w:val="16"/>
              </w:rPr>
              <w:t>Case 3: FR1 inter-band UL CA/DC, where a single CC is configured in the uplink bands where power boosting capability is indicated. The power boosting feature can be configured only in one of the bands where capability is indicated.</w:t>
            </w:r>
          </w:p>
          <w:p>
            <w:pPr>
              <w:pStyle w:val="47"/>
              <w:spacing w:after="0"/>
              <w:rPr>
                <w:kern w:val="2"/>
                <w:sz w:val="16"/>
                <w:szCs w:val="16"/>
              </w:rPr>
            </w:pPr>
            <w:r>
              <w:rPr>
                <w:rFonts w:ascii="Arial" w:hAnsi="Arial"/>
                <w:kern w:val="2"/>
                <w:sz w:val="16"/>
                <w:szCs w:val="16"/>
              </w:rPr>
              <w:t>-</w:t>
            </w:r>
            <w:r>
              <w:rPr>
                <w:rFonts w:ascii="Arial" w:hAnsi="Arial"/>
                <w:kern w:val="2"/>
                <w:sz w:val="16"/>
                <w:szCs w:val="16"/>
              </w:rPr>
              <w:tab/>
            </w:r>
            <w:r>
              <w:rPr>
                <w:rFonts w:ascii="Arial" w:hAnsi="Arial"/>
                <w:kern w:val="2"/>
                <w:sz w:val="16"/>
                <w:szCs w:val="16"/>
              </w:rPr>
              <w:t>Case 4: FR1+FR2 UL CA, FR1+FR2 DC, where a single CC is configured in the uplink bands where power boosting capability is indicated. The power boosting feature can be configured in the FR1 NR band.</w:t>
            </w:r>
          </w:p>
          <w:p>
            <w:pPr>
              <w:pStyle w:val="58"/>
              <w:rPr>
                <w:rFonts w:cs="Arial"/>
                <w:b/>
                <w:bCs/>
                <w:i/>
                <w:iCs/>
                <w:sz w:val="16"/>
                <w:szCs w:val="16"/>
              </w:rPr>
            </w:pPr>
          </w:p>
        </w:tc>
        <w:tc>
          <w:tcPr>
            <w:tcW w:w="709" w:type="dxa"/>
          </w:tcPr>
          <w:p>
            <w:pPr>
              <w:pStyle w:val="58"/>
              <w:jc w:val="center"/>
              <w:rPr>
                <w:sz w:val="16"/>
                <w:szCs w:val="16"/>
                <w:lang w:eastAsia="zh-CN"/>
              </w:rPr>
            </w:pPr>
            <w:r>
              <w:rPr>
                <w:sz w:val="16"/>
                <w:szCs w:val="16"/>
              </w:rPr>
              <w:t>FS</w:t>
            </w:r>
          </w:p>
        </w:tc>
        <w:tc>
          <w:tcPr>
            <w:tcW w:w="567" w:type="dxa"/>
          </w:tcPr>
          <w:p>
            <w:pPr>
              <w:pStyle w:val="58"/>
              <w:jc w:val="center"/>
              <w:rPr>
                <w:sz w:val="16"/>
                <w:szCs w:val="16"/>
                <w:lang w:eastAsia="zh-CN"/>
              </w:rPr>
            </w:pPr>
            <w:r>
              <w:rPr>
                <w:sz w:val="16"/>
                <w:szCs w:val="16"/>
              </w:rPr>
              <w:t>No</w:t>
            </w:r>
          </w:p>
        </w:tc>
        <w:tc>
          <w:tcPr>
            <w:tcW w:w="709" w:type="dxa"/>
          </w:tcPr>
          <w:p>
            <w:pPr>
              <w:pStyle w:val="58"/>
              <w:jc w:val="center"/>
              <w:rPr>
                <w:bCs/>
                <w:iCs/>
                <w:sz w:val="16"/>
                <w:szCs w:val="16"/>
              </w:rPr>
            </w:pPr>
            <w:r>
              <w:rPr>
                <w:bCs/>
                <w:iCs/>
                <w:sz w:val="16"/>
                <w:szCs w:val="16"/>
              </w:rPr>
              <w:t>N/A</w:t>
            </w:r>
          </w:p>
        </w:tc>
        <w:tc>
          <w:tcPr>
            <w:tcW w:w="728" w:type="dxa"/>
          </w:tcPr>
          <w:p>
            <w:pPr>
              <w:pStyle w:val="58"/>
              <w:jc w:val="center"/>
              <w:rPr>
                <w:bCs/>
                <w:iCs/>
                <w:sz w:val="16"/>
                <w:szCs w:val="16"/>
              </w:rPr>
            </w:pPr>
            <w:r>
              <w:rPr>
                <w:bCs/>
                <w:iCs/>
                <w:sz w:val="16"/>
                <w:szCs w:val="16"/>
              </w:rPr>
              <w:t>FR1 only</w:t>
            </w:r>
          </w:p>
        </w:tc>
      </w:tr>
    </w:tbl>
    <w:p>
      <w:pPr>
        <w:rPr>
          <w:rFonts w:hint="default"/>
          <w:sz w:val="20"/>
          <w:szCs w:val="20"/>
          <w:lang w:val="en-US" w:eastAsia="zh-CN"/>
        </w:rPr>
      </w:pPr>
    </w:p>
    <w:p>
      <w:pPr>
        <w:rPr>
          <w:rFonts w:hint="default"/>
          <w:sz w:val="20"/>
          <w:szCs w:val="20"/>
          <w:lang w:val="en-US" w:eastAsia="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2-1-2: Single CC CBW or aggregated CBW for applying requirements of ACLR/SEM/SE</w:t>
            </w:r>
          </w:p>
          <w:p>
            <w:pPr>
              <w:pStyle w:val="34"/>
              <w:numPr>
                <w:ilvl w:val="0"/>
                <w:numId w:val="9"/>
              </w:numPr>
              <w:overflowPunct/>
              <w:autoSpaceDE/>
              <w:autoSpaceDN/>
              <w:adjustRightInd/>
              <w:spacing w:after="120"/>
              <w:ind w:left="720"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Proposals</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1: Integral region and boundary of spurious emissions/ACLR/SEM should be based on the activated CC CBW instead of aggregated CBW. (Samsung)</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2: When only 1 CC is activated the aggregated BW for CA should be used for evaluating metrics such as spurious emissions, SEM and ACLR. (Qualcomm, Huawei)</w:t>
            </w:r>
          </w:p>
          <w:p>
            <w:pPr>
              <w:pStyle w:val="34"/>
              <w:numPr>
                <w:ilvl w:val="0"/>
                <w:numId w:val="9"/>
              </w:numPr>
              <w:overflowPunct/>
              <w:autoSpaceDE/>
              <w:autoSpaceDN/>
              <w:adjustRightIn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numPr>
                <w:ilvl w:val="1"/>
                <w:numId w:val="9"/>
              </w:numPr>
              <w:overflowPunct/>
              <w:autoSpaceDE/>
              <w:autoSpaceDN/>
              <w:adjustRightIn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FFS in next meeting</w:t>
            </w:r>
          </w:p>
          <w:p>
            <w:pPr>
              <w:overflowPunct w:val="0"/>
              <w:autoSpaceDE w:val="0"/>
              <w:autoSpaceDN w:val="0"/>
              <w:adjustRightInd w:val="0"/>
              <w:spacing w:after="180"/>
              <w:textAlignment w:val="baseline"/>
              <w:rPr>
                <w:rFonts w:eastAsiaTheme="minorEastAsia"/>
                <w:color w:val="000000" w:themeColor="text1"/>
                <w:sz w:val="20"/>
                <w:szCs w:val="20"/>
                <w:lang w:val="en-US" w:eastAsia="zh-CN"/>
                <w14:textFill>
                  <w14:solidFill>
                    <w14:schemeClr w14:val="tx1"/>
                  </w14:solidFill>
                </w14:textFill>
              </w:rPr>
            </w:pPr>
          </w:p>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2-1-3: Single CC or CA requirements of ACLR/SEM/SE applied for single activated cell</w:t>
            </w:r>
          </w:p>
          <w:p>
            <w:pPr>
              <w:pStyle w:val="34"/>
              <w:numPr>
                <w:ilvl w:val="0"/>
                <w:numId w:val="9"/>
              </w:numPr>
              <w:overflowPunct/>
              <w:autoSpaceDE/>
              <w:autoSpaceDN/>
              <w:adjustRightInd/>
              <w:spacing w:after="120"/>
              <w:ind w:left="720"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Proposals</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1: Even when transmitted RBs are allocated in only one of the CC, the emissions requirement based on the configured intra-band contiguous ULCA are used (SEM, ACLR, spurious emissions) and all allocations can use the single CC MPR for inner. FFS if a similar approach is applicable to some additional emission requirements. (Skyworks)</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2: Apply single carrier spurious emission/ACLR/SEM requirements for contiguous UL CA with only 1 CC transmitted. (CATT, Samsung, ZTE, vivo)</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hint="eastAsia" w:eastAsia="宋体"/>
                <w:color w:val="000000" w:themeColor="text1"/>
                <w:sz w:val="20"/>
                <w:szCs w:val="20"/>
                <w:lang w:eastAsia="zh-CN"/>
                <w14:textFill>
                  <w14:solidFill>
                    <w14:schemeClr w14:val="tx1"/>
                  </w14:solidFill>
                </w14:textFill>
              </w:rPr>
              <w:t>P</w:t>
            </w:r>
            <w:r>
              <w:rPr>
                <w:rFonts w:eastAsia="宋体"/>
                <w:color w:val="000000" w:themeColor="text1"/>
                <w:sz w:val="20"/>
                <w:szCs w:val="20"/>
                <w:lang w:eastAsia="zh-CN"/>
                <w14:textFill>
                  <w14:solidFill>
                    <w14:schemeClr w14:val="tx1"/>
                  </w14:solidFill>
                </w14:textFill>
              </w:rPr>
              <w:t>roposal 3: For Rel-19 MPR applicability for FR1 intra-band contiguous UL CA, the spurious emissions/ACLR/SEM are kept for aggregated/configured CBW. (Huawei, Ericsson)</w:t>
            </w:r>
          </w:p>
          <w:p>
            <w:pPr>
              <w:pStyle w:val="34"/>
              <w:numPr>
                <w:ilvl w:val="0"/>
                <w:numId w:val="9"/>
              </w:numPr>
              <w:overflowPunct/>
              <w:autoSpaceDE/>
              <w:autoSpaceDN/>
              <w:adjustRightIn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numPr>
                <w:ilvl w:val="1"/>
                <w:numId w:val="9"/>
              </w:numPr>
              <w:overflowPunct/>
              <w:autoSpaceDE/>
              <w:autoSpaceDN/>
              <w:adjustRightIn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FFS in next meeting</w:t>
            </w:r>
          </w:p>
          <w:p>
            <w:pPr>
              <w:pStyle w:val="34"/>
              <w:numPr>
                <w:ilvl w:val="0"/>
                <w:numId w:val="0"/>
              </w:numPr>
              <w:overflowPunct w:val="0"/>
              <w:autoSpaceDE w:val="0"/>
              <w:autoSpaceDN w:val="0"/>
              <w:adjustRightInd w:val="0"/>
              <w:spacing w:after="180"/>
              <w:textAlignment w:val="baseline"/>
              <w:rPr>
                <w:rFonts w:hint="default"/>
                <w:b/>
                <w:bCs/>
                <w:i/>
                <w:iCs/>
                <w:sz w:val="20"/>
                <w:szCs w:val="20"/>
                <w:vertAlign w:val="baseline"/>
                <w:lang w:val="en-US" w:eastAsia="zh-CN"/>
              </w:rPr>
            </w:pPr>
          </w:p>
        </w:tc>
      </w:tr>
    </w:tbl>
    <w:p>
      <w:pPr>
        <w:rPr>
          <w:rFonts w:hint="default"/>
          <w:sz w:val="20"/>
          <w:szCs w:val="20"/>
          <w:lang w:val="en-US" w:eastAsia="zh-CN"/>
        </w:rPr>
      </w:pPr>
      <w:r>
        <w:rPr>
          <w:rFonts w:hint="eastAsia"/>
          <w:sz w:val="20"/>
          <w:szCs w:val="20"/>
          <w:lang w:val="en-US" w:eastAsia="zh-CN"/>
        </w:rPr>
        <w:t>Based on [3], for intra-band contiguous CA with single activated cell, any RB allocation &lt; 6.48 MHz bandwidth fails the -13dBm/MHz SEM limit when the single carrier SEM requirement is used, but using the configured contiguous ULCA SEM works. It is proposed to apply ACLR/SEM/SE requirements based on aggregated CBW and apply ACLR/SEM/SE requirements of CA for single activated CC.</w:t>
      </w:r>
    </w:p>
    <w:p>
      <w:pPr>
        <w:rPr>
          <w:rFonts w:hint="eastAsia"/>
          <w:sz w:val="20"/>
          <w:szCs w:val="20"/>
          <w:lang w:val="en-US" w:eastAsia="zh-CN"/>
        </w:rPr>
      </w:pPr>
      <w:r>
        <w:rPr>
          <w:rFonts w:hint="eastAsia"/>
          <w:b/>
          <w:bCs/>
          <w:i w:val="0"/>
          <w:iCs w:val="0"/>
          <w:sz w:val="20"/>
          <w:szCs w:val="20"/>
          <w:lang w:val="en-US" w:eastAsia="zh-CN"/>
        </w:rPr>
        <w:t>Proposal 2: Apply ACLR/SEM/SE requirements based on aggregated CBW and apply ACLR/SEM/SE requirements of CA for single activated CC.</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power boosting and/or MPR reduction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i w:val="0"/>
          <w:iCs w:val="0"/>
          <w:sz w:val="20"/>
          <w:szCs w:val="20"/>
          <w:lang w:val="en-US" w:eastAsia="zh-CN"/>
        </w:rPr>
      </w:pPr>
      <w:r>
        <w:rPr>
          <w:rFonts w:hint="eastAsia"/>
          <w:b/>
          <w:bCs/>
          <w:i w:val="0"/>
          <w:iCs w:val="0"/>
          <w:sz w:val="20"/>
          <w:szCs w:val="20"/>
          <w:lang w:val="en-US" w:eastAsia="zh-CN"/>
        </w:rPr>
        <w:t>Proposal 1: For PC3 and PC2 contiguous UL CA use the corresponding single CC MPR when only 1 CC is activated and refer to the following MPR tables and corresponding configured Tx power requirements.</w:t>
      </w:r>
    </w:p>
    <w:p>
      <w:pPr>
        <w:numPr>
          <w:ilvl w:val="0"/>
          <w:numId w:val="12"/>
        </w:numPr>
        <w:ind w:left="420" w:leftChars="0" w:hanging="420" w:firstLineChars="0"/>
        <w:rPr>
          <w:rFonts w:hint="eastAsia"/>
          <w:b/>
          <w:bCs/>
          <w:i w:val="0"/>
          <w:iCs w:val="0"/>
          <w:sz w:val="20"/>
          <w:szCs w:val="20"/>
          <w:lang w:val="en-US" w:eastAsia="zh-CN"/>
        </w:rPr>
      </w:pPr>
      <w:r>
        <w:rPr>
          <w:rFonts w:hint="eastAsia"/>
          <w:b/>
          <w:bCs/>
          <w:i w:val="0"/>
          <w:iCs w:val="0"/>
          <w:sz w:val="20"/>
          <w:szCs w:val="20"/>
          <w:lang w:val="en-US" w:eastAsia="zh-CN"/>
        </w:rPr>
        <w:t xml:space="preserve">MPR defined in Table 6.2.2-1 applies for UE power class 3 CA bandwidth classes B and C, along with configured Tx power requirements for 6.2.4, and UE capability </w:t>
      </w:r>
      <w:r>
        <w:rPr>
          <w:rFonts w:hint="eastAsia"/>
          <w:b/>
          <w:bCs/>
          <w:i/>
          <w:iCs/>
          <w:sz w:val="20"/>
          <w:szCs w:val="20"/>
          <w:lang w:val="en-US" w:eastAsia="zh-CN"/>
        </w:rPr>
        <w:t>powerBoosting-pi2BPSK</w:t>
      </w:r>
      <w:r>
        <w:rPr>
          <w:rFonts w:hint="eastAsia"/>
          <w:b/>
          <w:bCs/>
          <w:i w:val="0"/>
          <w:iCs w:val="0"/>
          <w:sz w:val="20"/>
          <w:szCs w:val="20"/>
          <w:lang w:val="en-US" w:eastAsia="zh-CN"/>
        </w:rPr>
        <w:t xml:space="preserve"> is not supported</w:t>
      </w:r>
    </w:p>
    <w:p>
      <w:pPr>
        <w:numPr>
          <w:ilvl w:val="0"/>
          <w:numId w:val="12"/>
        </w:numPr>
        <w:ind w:left="420" w:leftChars="0" w:hanging="420" w:firstLineChars="0"/>
        <w:rPr>
          <w:rFonts w:hint="eastAsia"/>
          <w:b/>
          <w:bCs/>
          <w:i w:val="0"/>
          <w:iCs w:val="0"/>
          <w:sz w:val="20"/>
          <w:szCs w:val="20"/>
          <w:lang w:val="en-US" w:eastAsia="zh-CN"/>
        </w:rPr>
      </w:pPr>
      <w:r>
        <w:rPr>
          <w:rFonts w:hint="eastAsia"/>
          <w:b/>
          <w:bCs/>
          <w:i w:val="0"/>
          <w:iCs w:val="0"/>
          <w:sz w:val="20"/>
          <w:szCs w:val="20"/>
          <w:lang w:val="en-US" w:eastAsia="zh-CN"/>
        </w:rPr>
        <w:t xml:space="preserve">MPR defined in Table 6.2D.2-1 applies for power class 2 CA bandwidth classes B and C when TxD capability is indicated, along with configured Tx power requirements for 6.2D.4  </w:t>
      </w:r>
    </w:p>
    <w:p>
      <w:pPr>
        <w:numPr>
          <w:ilvl w:val="0"/>
          <w:numId w:val="12"/>
        </w:numPr>
        <w:ind w:left="420" w:leftChars="0" w:hanging="420" w:firstLineChars="0"/>
        <w:rPr>
          <w:rFonts w:hint="default"/>
          <w:b w:val="0"/>
          <w:bCs w:val="0"/>
          <w:i w:val="0"/>
          <w:iCs/>
          <w:sz w:val="20"/>
          <w:szCs w:val="20"/>
          <w:lang w:val="en-US" w:eastAsia="zh-CN"/>
        </w:rPr>
      </w:pPr>
      <w:r>
        <w:rPr>
          <w:rFonts w:hint="eastAsia"/>
          <w:b/>
          <w:bCs/>
          <w:i w:val="0"/>
          <w:iCs w:val="0"/>
          <w:sz w:val="20"/>
          <w:szCs w:val="20"/>
          <w:lang w:val="en-US" w:eastAsia="zh-CN"/>
        </w:rPr>
        <w:t xml:space="preserve">MPR defined in Table 6.2.2-2 applies for power class 2 CA bandwidth classes B and C when TxD capability is absent, along with configured Tx power requirements for 6.2.4 </w:t>
      </w:r>
    </w:p>
    <w:p>
      <w:pPr>
        <w:rPr>
          <w:rFonts w:hint="eastAsia"/>
          <w:sz w:val="20"/>
          <w:szCs w:val="20"/>
          <w:lang w:val="en-US" w:eastAsia="zh-CN"/>
        </w:rPr>
      </w:pPr>
      <w:r>
        <w:rPr>
          <w:rFonts w:hint="eastAsia"/>
          <w:b/>
          <w:bCs/>
          <w:i w:val="0"/>
          <w:iCs w:val="0"/>
          <w:sz w:val="20"/>
          <w:szCs w:val="20"/>
          <w:lang w:val="en-US" w:eastAsia="zh-CN"/>
        </w:rPr>
        <w:t>Proposal 2: Apply ACLR/SEM/SE requirements based on aggregated CBW and apply ACLR/SEM/SE requirements of CA for single activated CC.</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3"/>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eastAsia"/>
          <w:sz w:val="20"/>
          <w:szCs w:val="20"/>
          <w:lang w:val="en-US" w:eastAsia="zh-CN"/>
        </w:rPr>
        <w:t>RP-230828, New WID: UE RF enhancements for NR FR1/FR2 and EN-DC, Phase 4, Huawei</w:t>
      </w:r>
    </w:p>
    <w:p>
      <w:pPr>
        <w:keepNext/>
        <w:keepLines/>
        <w:pageBreakBefore w:val="0"/>
        <w:widowControl/>
        <w:numPr>
          <w:ilvl w:val="0"/>
          <w:numId w:val="13"/>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R4-2321960, LS on UE capabilities for MPR reduction, Nokia</w:t>
      </w:r>
    </w:p>
    <w:p>
      <w:pPr>
        <w:keepNext/>
        <w:keepLines/>
        <w:pageBreakBefore w:val="0"/>
        <w:widowControl/>
        <w:numPr>
          <w:ilvl w:val="0"/>
          <w:numId w:val="13"/>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default"/>
          <w:sz w:val="20"/>
          <w:szCs w:val="20"/>
          <w:lang w:val="en-US" w:eastAsia="zh-CN"/>
        </w:rPr>
        <w:t>R4-2411049</w:t>
      </w:r>
      <w:r>
        <w:rPr>
          <w:rFonts w:hint="eastAsia"/>
          <w:sz w:val="20"/>
          <w:szCs w:val="20"/>
          <w:lang w:val="en-US" w:eastAsia="zh-CN"/>
        </w:rPr>
        <w:t>, On improved MPR for intra-band ULCA when only one CC has RBs allocated, Skyworks Solutions, Inc.</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GB" w:eastAsia="zh-CN"/>
        </w:rPr>
      </w:pP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GB"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New York">
    <w:altName w:val="Tahoma"/>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B5C5CD6"/>
    <w:multiLevelType w:val="multilevel"/>
    <w:tmpl w:val="1B5C5CD6"/>
    <w:lvl w:ilvl="0" w:tentative="0">
      <w:start w:val="1"/>
      <w:numFmt w:val="bullet"/>
      <w:lvlText w:val="o"/>
      <w:lvlJc w:val="left"/>
      <w:pPr>
        <w:ind w:left="1856" w:hanging="360"/>
      </w:pPr>
      <w:rPr>
        <w:rFonts w:hint="default" w:ascii="Courier New" w:hAnsi="Courier New" w:cs="Courier New"/>
      </w:rPr>
    </w:lvl>
    <w:lvl w:ilvl="1" w:tentative="0">
      <w:start w:val="1"/>
      <w:numFmt w:val="bullet"/>
      <w:lvlText w:val="o"/>
      <w:lvlJc w:val="left"/>
      <w:pPr>
        <w:ind w:left="2576" w:hanging="360"/>
      </w:pPr>
      <w:rPr>
        <w:rFonts w:hint="default" w:ascii="Courier New" w:hAnsi="Courier New" w:cs="Courier New"/>
      </w:rPr>
    </w:lvl>
    <w:lvl w:ilvl="2" w:tentative="0">
      <w:start w:val="1"/>
      <w:numFmt w:val="bullet"/>
      <w:lvlText w:val=""/>
      <w:lvlJc w:val="left"/>
      <w:pPr>
        <w:ind w:left="3296" w:hanging="360"/>
      </w:pPr>
      <w:rPr>
        <w:rFonts w:hint="default" w:ascii="Wingdings" w:hAnsi="Wingdings"/>
      </w:rPr>
    </w:lvl>
    <w:lvl w:ilvl="3" w:tentative="0">
      <w:start w:val="1"/>
      <w:numFmt w:val="bullet"/>
      <w:lvlText w:val=""/>
      <w:lvlJc w:val="left"/>
      <w:pPr>
        <w:ind w:left="4016" w:hanging="360"/>
      </w:pPr>
      <w:rPr>
        <w:rFonts w:hint="default" w:ascii="Symbol" w:hAnsi="Symbol"/>
      </w:rPr>
    </w:lvl>
    <w:lvl w:ilvl="4" w:tentative="0">
      <w:start w:val="1"/>
      <w:numFmt w:val="bullet"/>
      <w:lvlText w:val="o"/>
      <w:lvlJc w:val="left"/>
      <w:pPr>
        <w:ind w:left="4736" w:hanging="360"/>
      </w:pPr>
      <w:rPr>
        <w:rFonts w:hint="default" w:ascii="Courier New" w:hAnsi="Courier New" w:cs="Courier New"/>
      </w:rPr>
    </w:lvl>
    <w:lvl w:ilvl="5" w:tentative="0">
      <w:start w:val="1"/>
      <w:numFmt w:val="bullet"/>
      <w:lvlText w:val=""/>
      <w:lvlJc w:val="left"/>
      <w:pPr>
        <w:ind w:left="5456" w:hanging="360"/>
      </w:pPr>
      <w:rPr>
        <w:rFonts w:hint="default" w:ascii="Wingdings" w:hAnsi="Wingdings"/>
      </w:rPr>
    </w:lvl>
    <w:lvl w:ilvl="6" w:tentative="0">
      <w:start w:val="1"/>
      <w:numFmt w:val="bullet"/>
      <w:lvlText w:val=""/>
      <w:lvlJc w:val="left"/>
      <w:pPr>
        <w:ind w:left="6176" w:hanging="360"/>
      </w:pPr>
      <w:rPr>
        <w:rFonts w:hint="default" w:ascii="Symbol" w:hAnsi="Symbol"/>
      </w:rPr>
    </w:lvl>
    <w:lvl w:ilvl="7" w:tentative="0">
      <w:start w:val="1"/>
      <w:numFmt w:val="bullet"/>
      <w:lvlText w:val="o"/>
      <w:lvlJc w:val="left"/>
      <w:pPr>
        <w:ind w:left="6896" w:hanging="360"/>
      </w:pPr>
      <w:rPr>
        <w:rFonts w:hint="default" w:ascii="Courier New" w:hAnsi="Courier New" w:cs="Courier New"/>
      </w:rPr>
    </w:lvl>
    <w:lvl w:ilvl="8" w:tentative="0">
      <w:start w:val="1"/>
      <w:numFmt w:val="bullet"/>
      <w:lvlText w:val=""/>
      <w:lvlJc w:val="left"/>
      <w:pPr>
        <w:ind w:left="7616" w:hanging="360"/>
      </w:pPr>
      <w:rPr>
        <w:rFonts w:hint="default" w:ascii="Wingdings" w:hAnsi="Wingdings"/>
      </w:rPr>
    </w:lvl>
  </w:abstractNum>
  <w:abstractNum w:abstractNumId="5">
    <w:nsid w:val="1D3B2FCE"/>
    <w:multiLevelType w:val="singleLevel"/>
    <w:tmpl w:val="1D3B2FCE"/>
    <w:lvl w:ilvl="0" w:tentative="0">
      <w:start w:val="1"/>
      <w:numFmt w:val="bullet"/>
      <w:lvlText w:val="▪"/>
      <w:lvlJc w:val="left"/>
      <w:pPr>
        <w:ind w:left="420" w:leftChars="0" w:hanging="420" w:firstLineChars="0"/>
      </w:pPr>
      <w:rPr>
        <w:rFonts w:hint="default" w:ascii="Arial" w:hAnsi="Arial" w:cs="Arial"/>
      </w:rPr>
    </w:lvl>
  </w:abstractNum>
  <w:abstractNum w:abstractNumId="6">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2"/>
      <w:numFmt w:val="bullet"/>
      <w:lvlText w:val="-"/>
      <w:lvlJc w:val="left"/>
      <w:pPr>
        <w:ind w:left="1080" w:hanging="360"/>
      </w:pPr>
      <w:rPr>
        <w:rFonts w:hint="eastAsia" w:ascii="New York" w:hAnsi="New York" w:eastAsia="New York" w:cs="宋体"/>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5B6568FB"/>
    <w:multiLevelType w:val="multilevel"/>
    <w:tmpl w:val="5B6568FB"/>
    <w:lvl w:ilvl="0" w:tentative="0">
      <w:start w:val="2"/>
      <w:numFmt w:val="bullet"/>
      <w:lvlText w:val="-"/>
      <w:lvlJc w:val="left"/>
      <w:pPr>
        <w:ind w:left="560" w:hanging="360"/>
      </w:pPr>
      <w:rPr>
        <w:rFonts w:hint="default" w:ascii="Times New Roman" w:hAnsi="Times New Roman" w:eastAsia="宋体"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0">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1">
    <w:nsid w:val="5F723A5E"/>
    <w:multiLevelType w:val="singleLevel"/>
    <w:tmpl w:val="5F723A5E"/>
    <w:lvl w:ilvl="0" w:tentative="0">
      <w:start w:val="1"/>
      <w:numFmt w:val="decimal"/>
      <w:suff w:val="space"/>
      <w:lvlText w:val="[%1]"/>
      <w:lvlJc w:val="left"/>
    </w:lvl>
  </w:abstractNum>
  <w:abstractNum w:abstractNumId="12">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2"/>
  </w:num>
  <w:num w:numId="3">
    <w:abstractNumId w:val="10"/>
  </w:num>
  <w:num w:numId="4">
    <w:abstractNumId w:val="6"/>
  </w:num>
  <w:num w:numId="5">
    <w:abstractNumId w:val="7"/>
  </w:num>
  <w:num w:numId="6">
    <w:abstractNumId w:val="1"/>
  </w:num>
  <w:num w:numId="7">
    <w:abstractNumId w:val="0"/>
  </w:num>
  <w:num w:numId="8">
    <w:abstractNumId w:val="2"/>
  </w:num>
  <w:num w:numId="9">
    <w:abstractNumId w:val="8"/>
  </w:num>
  <w:num w:numId="10">
    <w:abstractNumId w:val="4"/>
  </w:num>
  <w:num w:numId="11">
    <w:abstractNumId w:val="9"/>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67322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ED2E61"/>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45E8F"/>
    <w:rsid w:val="03496C64"/>
    <w:rsid w:val="035154D3"/>
    <w:rsid w:val="03527C38"/>
    <w:rsid w:val="0356746F"/>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2E35E9"/>
    <w:rsid w:val="04305EA0"/>
    <w:rsid w:val="04310833"/>
    <w:rsid w:val="04343921"/>
    <w:rsid w:val="04346443"/>
    <w:rsid w:val="043865BF"/>
    <w:rsid w:val="043A14AD"/>
    <w:rsid w:val="044C78D8"/>
    <w:rsid w:val="04537B11"/>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A6B82"/>
    <w:rsid w:val="05636085"/>
    <w:rsid w:val="057D1D66"/>
    <w:rsid w:val="059D265F"/>
    <w:rsid w:val="059E1515"/>
    <w:rsid w:val="05AA6F8A"/>
    <w:rsid w:val="05B92EC1"/>
    <w:rsid w:val="05D05BD2"/>
    <w:rsid w:val="05DB542B"/>
    <w:rsid w:val="05E078B3"/>
    <w:rsid w:val="05E942A3"/>
    <w:rsid w:val="05EA759F"/>
    <w:rsid w:val="05EE6827"/>
    <w:rsid w:val="0601277E"/>
    <w:rsid w:val="060C5AED"/>
    <w:rsid w:val="06103146"/>
    <w:rsid w:val="06172561"/>
    <w:rsid w:val="061A6A13"/>
    <w:rsid w:val="061E54DA"/>
    <w:rsid w:val="061E5E22"/>
    <w:rsid w:val="06223FD1"/>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97A08"/>
    <w:rsid w:val="11921373"/>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9587F"/>
    <w:rsid w:val="155E7DEC"/>
    <w:rsid w:val="15740334"/>
    <w:rsid w:val="1574662E"/>
    <w:rsid w:val="15751882"/>
    <w:rsid w:val="1575191B"/>
    <w:rsid w:val="157818C6"/>
    <w:rsid w:val="159F73BB"/>
    <w:rsid w:val="15B03F28"/>
    <w:rsid w:val="15C15E25"/>
    <w:rsid w:val="15C42571"/>
    <w:rsid w:val="15E30A80"/>
    <w:rsid w:val="15F21B9E"/>
    <w:rsid w:val="15FD2FA2"/>
    <w:rsid w:val="16021A7C"/>
    <w:rsid w:val="1608480E"/>
    <w:rsid w:val="161C1C58"/>
    <w:rsid w:val="162B27CD"/>
    <w:rsid w:val="162D7415"/>
    <w:rsid w:val="162F755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DE2FB7"/>
    <w:rsid w:val="17E47B20"/>
    <w:rsid w:val="17E65848"/>
    <w:rsid w:val="17E66DD8"/>
    <w:rsid w:val="17E84839"/>
    <w:rsid w:val="17EE1403"/>
    <w:rsid w:val="17EF60C6"/>
    <w:rsid w:val="17F25234"/>
    <w:rsid w:val="17F33DC6"/>
    <w:rsid w:val="17F45149"/>
    <w:rsid w:val="17FD061B"/>
    <w:rsid w:val="17FD20FD"/>
    <w:rsid w:val="17FF6314"/>
    <w:rsid w:val="18005F41"/>
    <w:rsid w:val="18025414"/>
    <w:rsid w:val="18171305"/>
    <w:rsid w:val="1820454C"/>
    <w:rsid w:val="1825268D"/>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8DC1AEF"/>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EE14F5"/>
    <w:rsid w:val="1AF7297B"/>
    <w:rsid w:val="1AF97DCC"/>
    <w:rsid w:val="1AFB06A3"/>
    <w:rsid w:val="1B062896"/>
    <w:rsid w:val="1B0F19AE"/>
    <w:rsid w:val="1B141BBC"/>
    <w:rsid w:val="1B2160BB"/>
    <w:rsid w:val="1B2B6699"/>
    <w:rsid w:val="1B3637AD"/>
    <w:rsid w:val="1B3E0DB5"/>
    <w:rsid w:val="1B454C94"/>
    <w:rsid w:val="1B454E69"/>
    <w:rsid w:val="1B5C1145"/>
    <w:rsid w:val="1B5D79CB"/>
    <w:rsid w:val="1B6B769D"/>
    <w:rsid w:val="1B6C0DF0"/>
    <w:rsid w:val="1B7F6005"/>
    <w:rsid w:val="1B801925"/>
    <w:rsid w:val="1B874E63"/>
    <w:rsid w:val="1B9C269A"/>
    <w:rsid w:val="1B9E64C5"/>
    <w:rsid w:val="1B9E6D4C"/>
    <w:rsid w:val="1BB07CEA"/>
    <w:rsid w:val="1BBD43BA"/>
    <w:rsid w:val="1BC01115"/>
    <w:rsid w:val="1BC44015"/>
    <w:rsid w:val="1BC96DA5"/>
    <w:rsid w:val="1BCA6284"/>
    <w:rsid w:val="1BCC6C47"/>
    <w:rsid w:val="1BE32C74"/>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B9479A"/>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F2219"/>
    <w:rsid w:val="1F614D01"/>
    <w:rsid w:val="1F721405"/>
    <w:rsid w:val="1F935819"/>
    <w:rsid w:val="1FA036A3"/>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773A28"/>
    <w:rsid w:val="208574F4"/>
    <w:rsid w:val="208C4449"/>
    <w:rsid w:val="208F6BAF"/>
    <w:rsid w:val="209414DB"/>
    <w:rsid w:val="20A462BA"/>
    <w:rsid w:val="20BF2AAC"/>
    <w:rsid w:val="20C849C7"/>
    <w:rsid w:val="20DF66D2"/>
    <w:rsid w:val="20EC3F2E"/>
    <w:rsid w:val="20EC7C3E"/>
    <w:rsid w:val="20ED69ED"/>
    <w:rsid w:val="20F07537"/>
    <w:rsid w:val="20FA77BC"/>
    <w:rsid w:val="210548E9"/>
    <w:rsid w:val="210D14B3"/>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405F8"/>
    <w:rsid w:val="21B5366A"/>
    <w:rsid w:val="21C267BF"/>
    <w:rsid w:val="21C67C42"/>
    <w:rsid w:val="21CB6217"/>
    <w:rsid w:val="21CD6BCD"/>
    <w:rsid w:val="21CE6067"/>
    <w:rsid w:val="21CF439A"/>
    <w:rsid w:val="21D824E4"/>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483150"/>
    <w:rsid w:val="23536618"/>
    <w:rsid w:val="236C1BCA"/>
    <w:rsid w:val="237464D5"/>
    <w:rsid w:val="23816932"/>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6D249A"/>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91F8B"/>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9C5F0C"/>
    <w:rsid w:val="279E0177"/>
    <w:rsid w:val="27AA3521"/>
    <w:rsid w:val="27AB7429"/>
    <w:rsid w:val="27B10D86"/>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7174E"/>
    <w:rsid w:val="2A8A2F9C"/>
    <w:rsid w:val="2AA45D17"/>
    <w:rsid w:val="2AAB3B94"/>
    <w:rsid w:val="2AAC5A06"/>
    <w:rsid w:val="2AB775FB"/>
    <w:rsid w:val="2ABB3D6F"/>
    <w:rsid w:val="2ABC72C9"/>
    <w:rsid w:val="2AC70B30"/>
    <w:rsid w:val="2ACC2AAF"/>
    <w:rsid w:val="2AD74744"/>
    <w:rsid w:val="2AD91AC2"/>
    <w:rsid w:val="2AE57C95"/>
    <w:rsid w:val="2AF34B3D"/>
    <w:rsid w:val="2AF35C8B"/>
    <w:rsid w:val="2B055F4D"/>
    <w:rsid w:val="2B063D44"/>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A5C66"/>
    <w:rsid w:val="2BCB5DAA"/>
    <w:rsid w:val="2BD65380"/>
    <w:rsid w:val="2BD86372"/>
    <w:rsid w:val="2BDA39FD"/>
    <w:rsid w:val="2BE725D0"/>
    <w:rsid w:val="2BF369B9"/>
    <w:rsid w:val="2BFC0A4A"/>
    <w:rsid w:val="2C094904"/>
    <w:rsid w:val="2C0E55A1"/>
    <w:rsid w:val="2C346DB5"/>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CF5C52"/>
    <w:rsid w:val="2CE01F07"/>
    <w:rsid w:val="2CE8526F"/>
    <w:rsid w:val="2D024DC7"/>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A9328B"/>
    <w:rsid w:val="31B718F2"/>
    <w:rsid w:val="31C57B88"/>
    <w:rsid w:val="31D20051"/>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A56B44"/>
    <w:rsid w:val="32B52836"/>
    <w:rsid w:val="32DF351E"/>
    <w:rsid w:val="32E11028"/>
    <w:rsid w:val="32EE5E41"/>
    <w:rsid w:val="32F1510B"/>
    <w:rsid w:val="32F40F87"/>
    <w:rsid w:val="32F520B9"/>
    <w:rsid w:val="32FD7C76"/>
    <w:rsid w:val="330414AF"/>
    <w:rsid w:val="330C22FC"/>
    <w:rsid w:val="33231081"/>
    <w:rsid w:val="332A6617"/>
    <w:rsid w:val="33540E5D"/>
    <w:rsid w:val="33584A7B"/>
    <w:rsid w:val="335A0521"/>
    <w:rsid w:val="335D7182"/>
    <w:rsid w:val="335E7B11"/>
    <w:rsid w:val="3364318B"/>
    <w:rsid w:val="33691888"/>
    <w:rsid w:val="336A499A"/>
    <w:rsid w:val="33714830"/>
    <w:rsid w:val="33737F51"/>
    <w:rsid w:val="3375654F"/>
    <w:rsid w:val="337964FF"/>
    <w:rsid w:val="337D34FB"/>
    <w:rsid w:val="337E2DAF"/>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33698A"/>
    <w:rsid w:val="35387F19"/>
    <w:rsid w:val="3539550B"/>
    <w:rsid w:val="354D5E0E"/>
    <w:rsid w:val="355D10E3"/>
    <w:rsid w:val="356150BC"/>
    <w:rsid w:val="356678B4"/>
    <w:rsid w:val="35676DFC"/>
    <w:rsid w:val="3573649F"/>
    <w:rsid w:val="357E4B0A"/>
    <w:rsid w:val="35866D7F"/>
    <w:rsid w:val="358F6BDF"/>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16A5E"/>
    <w:rsid w:val="3B8E2153"/>
    <w:rsid w:val="3B9B2072"/>
    <w:rsid w:val="3BA03B83"/>
    <w:rsid w:val="3BA91F03"/>
    <w:rsid w:val="3BB16FA6"/>
    <w:rsid w:val="3BB17CE6"/>
    <w:rsid w:val="3BB20883"/>
    <w:rsid w:val="3BB448B0"/>
    <w:rsid w:val="3BB824F8"/>
    <w:rsid w:val="3BC34E75"/>
    <w:rsid w:val="3BCB270F"/>
    <w:rsid w:val="3BD569C2"/>
    <w:rsid w:val="3BD96AA6"/>
    <w:rsid w:val="3BDB053C"/>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04CC7"/>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C0B0E"/>
    <w:rsid w:val="41513BC9"/>
    <w:rsid w:val="41735B7F"/>
    <w:rsid w:val="419302E2"/>
    <w:rsid w:val="41982C27"/>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53221C"/>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E7EE2"/>
    <w:rsid w:val="433F6B54"/>
    <w:rsid w:val="43424AD7"/>
    <w:rsid w:val="4346543A"/>
    <w:rsid w:val="43533E29"/>
    <w:rsid w:val="43561E16"/>
    <w:rsid w:val="435B1259"/>
    <w:rsid w:val="436263D5"/>
    <w:rsid w:val="437556C4"/>
    <w:rsid w:val="43874CD4"/>
    <w:rsid w:val="439B699F"/>
    <w:rsid w:val="439D3E18"/>
    <w:rsid w:val="439F1200"/>
    <w:rsid w:val="43AE320F"/>
    <w:rsid w:val="43AF2D32"/>
    <w:rsid w:val="43B13512"/>
    <w:rsid w:val="43B76E4F"/>
    <w:rsid w:val="43C9176D"/>
    <w:rsid w:val="43CC2FC9"/>
    <w:rsid w:val="43CF0206"/>
    <w:rsid w:val="43D50BA1"/>
    <w:rsid w:val="43D85D6D"/>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43BE6"/>
    <w:rsid w:val="4575513B"/>
    <w:rsid w:val="45761EDD"/>
    <w:rsid w:val="457A67B2"/>
    <w:rsid w:val="457A7286"/>
    <w:rsid w:val="457B06AA"/>
    <w:rsid w:val="457C7D39"/>
    <w:rsid w:val="458667C4"/>
    <w:rsid w:val="458F5163"/>
    <w:rsid w:val="45934E4A"/>
    <w:rsid w:val="459405E3"/>
    <w:rsid w:val="459C5A47"/>
    <w:rsid w:val="45A82F38"/>
    <w:rsid w:val="45AC4003"/>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D3243"/>
    <w:rsid w:val="478821A1"/>
    <w:rsid w:val="479128A9"/>
    <w:rsid w:val="47956820"/>
    <w:rsid w:val="47975EDC"/>
    <w:rsid w:val="47983B19"/>
    <w:rsid w:val="479E2C8A"/>
    <w:rsid w:val="47A3609D"/>
    <w:rsid w:val="47AB7ED6"/>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41EA9"/>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5B6F39"/>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A578DE"/>
    <w:rsid w:val="50A649F5"/>
    <w:rsid w:val="50AB5EB6"/>
    <w:rsid w:val="50AE6FE2"/>
    <w:rsid w:val="50B16618"/>
    <w:rsid w:val="50BB568B"/>
    <w:rsid w:val="50BB6306"/>
    <w:rsid w:val="50C12EDC"/>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D4F57"/>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C86852"/>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629F9"/>
    <w:rsid w:val="56D7644B"/>
    <w:rsid w:val="56E373D5"/>
    <w:rsid w:val="56E81FA0"/>
    <w:rsid w:val="56E84A97"/>
    <w:rsid w:val="56F05010"/>
    <w:rsid w:val="56FB2A68"/>
    <w:rsid w:val="57011F3E"/>
    <w:rsid w:val="57050D7B"/>
    <w:rsid w:val="5705646B"/>
    <w:rsid w:val="57060649"/>
    <w:rsid w:val="572657E3"/>
    <w:rsid w:val="5732705F"/>
    <w:rsid w:val="57351D6F"/>
    <w:rsid w:val="573A2644"/>
    <w:rsid w:val="573B7F99"/>
    <w:rsid w:val="576476C1"/>
    <w:rsid w:val="576E1940"/>
    <w:rsid w:val="57756BF9"/>
    <w:rsid w:val="57770501"/>
    <w:rsid w:val="577B3337"/>
    <w:rsid w:val="577D4F28"/>
    <w:rsid w:val="57A33734"/>
    <w:rsid w:val="57AB6ADD"/>
    <w:rsid w:val="57B7178E"/>
    <w:rsid w:val="57B76EED"/>
    <w:rsid w:val="57BD72A7"/>
    <w:rsid w:val="57BE5838"/>
    <w:rsid w:val="57BF764E"/>
    <w:rsid w:val="57CB35DF"/>
    <w:rsid w:val="57D82354"/>
    <w:rsid w:val="57EF2F07"/>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8E49D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605DB"/>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C50F4"/>
    <w:rsid w:val="5ACC4940"/>
    <w:rsid w:val="5ACD3CD2"/>
    <w:rsid w:val="5AD7333E"/>
    <w:rsid w:val="5AD86A6D"/>
    <w:rsid w:val="5ADF4325"/>
    <w:rsid w:val="5AE8708E"/>
    <w:rsid w:val="5AEC14F6"/>
    <w:rsid w:val="5AF124A4"/>
    <w:rsid w:val="5AF80D20"/>
    <w:rsid w:val="5B0A4D6B"/>
    <w:rsid w:val="5B141085"/>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755A7"/>
    <w:rsid w:val="5BEB0120"/>
    <w:rsid w:val="5BEC175C"/>
    <w:rsid w:val="5BEF3E44"/>
    <w:rsid w:val="5BEF69FF"/>
    <w:rsid w:val="5C053E62"/>
    <w:rsid w:val="5C064BA0"/>
    <w:rsid w:val="5C07067E"/>
    <w:rsid w:val="5C075BB6"/>
    <w:rsid w:val="5C097C4E"/>
    <w:rsid w:val="5C1A3A93"/>
    <w:rsid w:val="5C235386"/>
    <w:rsid w:val="5C2A4E9F"/>
    <w:rsid w:val="5C37782E"/>
    <w:rsid w:val="5C3B6CFC"/>
    <w:rsid w:val="5C4735D5"/>
    <w:rsid w:val="5C4C2CF4"/>
    <w:rsid w:val="5C6B1600"/>
    <w:rsid w:val="5C6E26BF"/>
    <w:rsid w:val="5C706511"/>
    <w:rsid w:val="5C7D70D1"/>
    <w:rsid w:val="5C8542A8"/>
    <w:rsid w:val="5CA6294E"/>
    <w:rsid w:val="5CCC1DEC"/>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A540B"/>
    <w:rsid w:val="5FAB7F08"/>
    <w:rsid w:val="5FB7185B"/>
    <w:rsid w:val="5FB94C48"/>
    <w:rsid w:val="5FBE576C"/>
    <w:rsid w:val="5FD351F4"/>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51634C"/>
    <w:rsid w:val="606711B4"/>
    <w:rsid w:val="60673C40"/>
    <w:rsid w:val="606A52D4"/>
    <w:rsid w:val="606C5678"/>
    <w:rsid w:val="607A0897"/>
    <w:rsid w:val="607C3753"/>
    <w:rsid w:val="607F6EAB"/>
    <w:rsid w:val="608D1D4E"/>
    <w:rsid w:val="60911FEF"/>
    <w:rsid w:val="6092569C"/>
    <w:rsid w:val="609D0F5A"/>
    <w:rsid w:val="60A24097"/>
    <w:rsid w:val="60AD0357"/>
    <w:rsid w:val="60B004BE"/>
    <w:rsid w:val="60B6381B"/>
    <w:rsid w:val="60BA604C"/>
    <w:rsid w:val="60C302BA"/>
    <w:rsid w:val="60C30855"/>
    <w:rsid w:val="60C338B1"/>
    <w:rsid w:val="60D4742F"/>
    <w:rsid w:val="60D67C80"/>
    <w:rsid w:val="60D95276"/>
    <w:rsid w:val="60E06DEB"/>
    <w:rsid w:val="60E51841"/>
    <w:rsid w:val="60EC1F27"/>
    <w:rsid w:val="61110088"/>
    <w:rsid w:val="611647A0"/>
    <w:rsid w:val="61421EFD"/>
    <w:rsid w:val="614F6F7E"/>
    <w:rsid w:val="615C5041"/>
    <w:rsid w:val="61640524"/>
    <w:rsid w:val="617A6EE7"/>
    <w:rsid w:val="617B616B"/>
    <w:rsid w:val="6182260C"/>
    <w:rsid w:val="6190565E"/>
    <w:rsid w:val="61A61912"/>
    <w:rsid w:val="61AA2608"/>
    <w:rsid w:val="61AD68BC"/>
    <w:rsid w:val="61AE786E"/>
    <w:rsid w:val="61AF1936"/>
    <w:rsid w:val="61B173D2"/>
    <w:rsid w:val="61B25E8F"/>
    <w:rsid w:val="61BC4BE1"/>
    <w:rsid w:val="61C12DE2"/>
    <w:rsid w:val="61D43A2B"/>
    <w:rsid w:val="61E34474"/>
    <w:rsid w:val="61ED6D6A"/>
    <w:rsid w:val="61FF316E"/>
    <w:rsid w:val="62014BDB"/>
    <w:rsid w:val="621542CB"/>
    <w:rsid w:val="621C2930"/>
    <w:rsid w:val="624263A2"/>
    <w:rsid w:val="625272C3"/>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A2E8B"/>
    <w:rsid w:val="63CF097D"/>
    <w:rsid w:val="63D4153E"/>
    <w:rsid w:val="63DA0FA3"/>
    <w:rsid w:val="63DC7755"/>
    <w:rsid w:val="63E43D21"/>
    <w:rsid w:val="63E774B3"/>
    <w:rsid w:val="63F47D2A"/>
    <w:rsid w:val="63F6335E"/>
    <w:rsid w:val="63FE2D33"/>
    <w:rsid w:val="63FE7843"/>
    <w:rsid w:val="64046427"/>
    <w:rsid w:val="642369FC"/>
    <w:rsid w:val="64254882"/>
    <w:rsid w:val="64264A79"/>
    <w:rsid w:val="642A38B2"/>
    <w:rsid w:val="64304E58"/>
    <w:rsid w:val="64311867"/>
    <w:rsid w:val="64391ED3"/>
    <w:rsid w:val="6445632E"/>
    <w:rsid w:val="64566F9D"/>
    <w:rsid w:val="64596CB3"/>
    <w:rsid w:val="64742B63"/>
    <w:rsid w:val="647949B0"/>
    <w:rsid w:val="647C331C"/>
    <w:rsid w:val="647E661E"/>
    <w:rsid w:val="64872EB6"/>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3698F"/>
    <w:rsid w:val="6506609B"/>
    <w:rsid w:val="65083216"/>
    <w:rsid w:val="650A57D3"/>
    <w:rsid w:val="65460728"/>
    <w:rsid w:val="654835A8"/>
    <w:rsid w:val="65733E15"/>
    <w:rsid w:val="65822810"/>
    <w:rsid w:val="65870C45"/>
    <w:rsid w:val="658F6B54"/>
    <w:rsid w:val="659705FF"/>
    <w:rsid w:val="65AA6346"/>
    <w:rsid w:val="65B01B69"/>
    <w:rsid w:val="65B56C47"/>
    <w:rsid w:val="65B7794D"/>
    <w:rsid w:val="65B8262E"/>
    <w:rsid w:val="65BA6C3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820A4"/>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45CEB"/>
    <w:rsid w:val="67165AED"/>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EB1E1E"/>
    <w:rsid w:val="69F0745A"/>
    <w:rsid w:val="6A0D20F2"/>
    <w:rsid w:val="6A1757B7"/>
    <w:rsid w:val="6A1A2066"/>
    <w:rsid w:val="6A1D59EC"/>
    <w:rsid w:val="6A247F72"/>
    <w:rsid w:val="6A2E5EF8"/>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3A2738"/>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27F5"/>
    <w:rsid w:val="6C001608"/>
    <w:rsid w:val="6C08064C"/>
    <w:rsid w:val="6C0858B3"/>
    <w:rsid w:val="6C132D21"/>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E1485"/>
    <w:rsid w:val="6F023864"/>
    <w:rsid w:val="6F0247B3"/>
    <w:rsid w:val="6F031F8E"/>
    <w:rsid w:val="6F09008D"/>
    <w:rsid w:val="6F0D382C"/>
    <w:rsid w:val="6F2632E8"/>
    <w:rsid w:val="6F30363A"/>
    <w:rsid w:val="6F3316E5"/>
    <w:rsid w:val="6F3F40F9"/>
    <w:rsid w:val="6F424B2F"/>
    <w:rsid w:val="6F5E0205"/>
    <w:rsid w:val="6F632569"/>
    <w:rsid w:val="6F635E50"/>
    <w:rsid w:val="6F6F14E1"/>
    <w:rsid w:val="6F76254B"/>
    <w:rsid w:val="6F795532"/>
    <w:rsid w:val="6F7C40AC"/>
    <w:rsid w:val="6F8040F4"/>
    <w:rsid w:val="6F877B03"/>
    <w:rsid w:val="6F905BB3"/>
    <w:rsid w:val="6F9A3007"/>
    <w:rsid w:val="6FA629D4"/>
    <w:rsid w:val="6FA75ADB"/>
    <w:rsid w:val="6FB77ED4"/>
    <w:rsid w:val="6FBD3BBF"/>
    <w:rsid w:val="6FBD4D2F"/>
    <w:rsid w:val="6FBF4710"/>
    <w:rsid w:val="6FC9109F"/>
    <w:rsid w:val="6FCC6779"/>
    <w:rsid w:val="6FD942A3"/>
    <w:rsid w:val="6FDB518F"/>
    <w:rsid w:val="6FE529ED"/>
    <w:rsid w:val="6FF733A7"/>
    <w:rsid w:val="70003DD9"/>
    <w:rsid w:val="70072915"/>
    <w:rsid w:val="70172090"/>
    <w:rsid w:val="70195E88"/>
    <w:rsid w:val="701D43BA"/>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30B07"/>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6106A"/>
    <w:rsid w:val="719E0160"/>
    <w:rsid w:val="719F7A78"/>
    <w:rsid w:val="71A03079"/>
    <w:rsid w:val="71AD22C0"/>
    <w:rsid w:val="71B623F6"/>
    <w:rsid w:val="71B84778"/>
    <w:rsid w:val="71C7540C"/>
    <w:rsid w:val="71E857A5"/>
    <w:rsid w:val="71F64A63"/>
    <w:rsid w:val="71F870B8"/>
    <w:rsid w:val="72021233"/>
    <w:rsid w:val="7209701D"/>
    <w:rsid w:val="720B2A1D"/>
    <w:rsid w:val="72197AB8"/>
    <w:rsid w:val="72502F9F"/>
    <w:rsid w:val="7251515C"/>
    <w:rsid w:val="725817D3"/>
    <w:rsid w:val="726E6AD4"/>
    <w:rsid w:val="727C422C"/>
    <w:rsid w:val="7288329F"/>
    <w:rsid w:val="728D72D4"/>
    <w:rsid w:val="728E71EE"/>
    <w:rsid w:val="7292045A"/>
    <w:rsid w:val="72974DBE"/>
    <w:rsid w:val="72983FF8"/>
    <w:rsid w:val="72985E1E"/>
    <w:rsid w:val="729A5DBA"/>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7001F24"/>
    <w:rsid w:val="770A6C33"/>
    <w:rsid w:val="771A04D1"/>
    <w:rsid w:val="771B67DF"/>
    <w:rsid w:val="771E64D7"/>
    <w:rsid w:val="77240552"/>
    <w:rsid w:val="77272CAB"/>
    <w:rsid w:val="772B4341"/>
    <w:rsid w:val="77451578"/>
    <w:rsid w:val="774963F2"/>
    <w:rsid w:val="77576666"/>
    <w:rsid w:val="77604D79"/>
    <w:rsid w:val="77636E18"/>
    <w:rsid w:val="776564EF"/>
    <w:rsid w:val="776709A1"/>
    <w:rsid w:val="77674898"/>
    <w:rsid w:val="77692EA3"/>
    <w:rsid w:val="77695538"/>
    <w:rsid w:val="7773758E"/>
    <w:rsid w:val="77825248"/>
    <w:rsid w:val="7785098B"/>
    <w:rsid w:val="77870D91"/>
    <w:rsid w:val="778A3229"/>
    <w:rsid w:val="779258CC"/>
    <w:rsid w:val="7794068F"/>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87CC7"/>
    <w:rsid w:val="78FF5EC9"/>
    <w:rsid w:val="791843E7"/>
    <w:rsid w:val="79233426"/>
    <w:rsid w:val="79260F03"/>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36322F"/>
    <w:rsid w:val="7A431242"/>
    <w:rsid w:val="7A444657"/>
    <w:rsid w:val="7A4B3D21"/>
    <w:rsid w:val="7A4C2D60"/>
    <w:rsid w:val="7A5E0869"/>
    <w:rsid w:val="7A69432B"/>
    <w:rsid w:val="7A6E4BF5"/>
    <w:rsid w:val="7A6E5088"/>
    <w:rsid w:val="7A7F4A1E"/>
    <w:rsid w:val="7A8246BA"/>
    <w:rsid w:val="7A851D5D"/>
    <w:rsid w:val="7A8A2267"/>
    <w:rsid w:val="7A976E42"/>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674BA"/>
    <w:rsid w:val="7C4A2BD1"/>
    <w:rsid w:val="7C4C0053"/>
    <w:rsid w:val="7C576C70"/>
    <w:rsid w:val="7C6E4349"/>
    <w:rsid w:val="7C77043F"/>
    <w:rsid w:val="7C8A7CDC"/>
    <w:rsid w:val="7C9B5288"/>
    <w:rsid w:val="7C9E5A24"/>
    <w:rsid w:val="7CA745A1"/>
    <w:rsid w:val="7CAF4DCB"/>
    <w:rsid w:val="7CB4006B"/>
    <w:rsid w:val="7CB93ABB"/>
    <w:rsid w:val="7CC475DB"/>
    <w:rsid w:val="7CD36BD6"/>
    <w:rsid w:val="7CDE3831"/>
    <w:rsid w:val="7CE656F0"/>
    <w:rsid w:val="7CED34FF"/>
    <w:rsid w:val="7CEE5458"/>
    <w:rsid w:val="7CF26588"/>
    <w:rsid w:val="7CF565D7"/>
    <w:rsid w:val="7CF7605D"/>
    <w:rsid w:val="7CF867A7"/>
    <w:rsid w:val="7CFA3A46"/>
    <w:rsid w:val="7CFC78A1"/>
    <w:rsid w:val="7D0F5720"/>
    <w:rsid w:val="7D24652E"/>
    <w:rsid w:val="7D2561FD"/>
    <w:rsid w:val="7D2E198F"/>
    <w:rsid w:val="7D342E03"/>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ED71E7"/>
    <w:rsid w:val="7DFF1E31"/>
    <w:rsid w:val="7E0565CD"/>
    <w:rsid w:val="7E090313"/>
    <w:rsid w:val="7E097A5B"/>
    <w:rsid w:val="7E377EF0"/>
    <w:rsid w:val="7E3E0FEC"/>
    <w:rsid w:val="7E3E1EF2"/>
    <w:rsid w:val="7E566EA2"/>
    <w:rsid w:val="7E5A528F"/>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2A0EC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6</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2024-10-07T02:56:59Z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A9B14E2F6F0B4766B8936CD22E92BF11</vt:lpwstr>
  </property>
</Properties>
</file>